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AB" w:rsidRPr="00DB75A3" w:rsidRDefault="00DB75A3" w:rsidP="008477E2">
      <w:pPr>
        <w:spacing w:line="288" w:lineRule="auto"/>
        <w:jc w:val="right"/>
        <w:rPr>
          <w:rFonts w:cstheme="minorHAnsi"/>
          <w:bCs/>
          <w:sz w:val="24"/>
          <w:szCs w:val="24"/>
          <w:shd w:val="clear" w:color="auto" w:fill="FFFFFF"/>
        </w:rPr>
      </w:pPr>
      <w:r w:rsidRPr="00DB75A3">
        <w:rPr>
          <w:rStyle w:val="Strong"/>
          <w:rFonts w:cstheme="minorHAnsi"/>
          <w:b w:val="0"/>
          <w:sz w:val="24"/>
          <w:szCs w:val="24"/>
          <w:shd w:val="clear" w:color="auto" w:fill="FFFFFF"/>
        </w:rPr>
        <w:t>20</w:t>
      </w:r>
      <w:r w:rsidR="006F5993" w:rsidRPr="00DB75A3">
        <w:rPr>
          <w:rStyle w:val="Strong"/>
          <w:rFonts w:cstheme="minorHAnsi"/>
          <w:b w:val="0"/>
          <w:sz w:val="24"/>
          <w:szCs w:val="24"/>
          <w:shd w:val="clear" w:color="auto" w:fill="FFFFFF"/>
        </w:rPr>
        <w:t xml:space="preserve"> </w:t>
      </w:r>
      <w:r w:rsidR="00F06367" w:rsidRPr="00DB75A3">
        <w:rPr>
          <w:rStyle w:val="Strong"/>
          <w:rFonts w:cstheme="minorHAnsi"/>
          <w:b w:val="0"/>
          <w:sz w:val="24"/>
          <w:szCs w:val="24"/>
          <w:shd w:val="clear" w:color="auto" w:fill="FFFFFF"/>
        </w:rPr>
        <w:t xml:space="preserve">Απριλίου </w:t>
      </w:r>
      <w:r w:rsidR="00681520" w:rsidRPr="00DB75A3">
        <w:rPr>
          <w:rStyle w:val="Strong"/>
          <w:rFonts w:cstheme="minorHAnsi"/>
          <w:b w:val="0"/>
          <w:sz w:val="24"/>
          <w:szCs w:val="24"/>
          <w:shd w:val="clear" w:color="auto" w:fill="FFFFFF"/>
        </w:rPr>
        <w:t>202</w:t>
      </w:r>
      <w:r w:rsidR="008A21DB" w:rsidRPr="00DB75A3">
        <w:rPr>
          <w:rStyle w:val="Strong"/>
          <w:rFonts w:cstheme="minorHAnsi"/>
          <w:b w:val="0"/>
          <w:sz w:val="24"/>
          <w:szCs w:val="24"/>
          <w:shd w:val="clear" w:color="auto" w:fill="FFFFFF"/>
        </w:rPr>
        <w:t>2</w:t>
      </w:r>
    </w:p>
    <w:p w:rsidR="006D5278" w:rsidRPr="00DB75A3" w:rsidRDefault="006D5278" w:rsidP="00F924A8">
      <w:pPr>
        <w:rPr>
          <w:rFonts w:cstheme="minorHAnsi"/>
          <w:b/>
          <w:sz w:val="24"/>
          <w:szCs w:val="24"/>
        </w:rPr>
      </w:pPr>
    </w:p>
    <w:p w:rsidR="00971F77" w:rsidRPr="00DB75A3" w:rsidRDefault="00971F77" w:rsidP="00971F77">
      <w:pPr>
        <w:jc w:val="center"/>
        <w:rPr>
          <w:b/>
          <w:bCs/>
          <w:sz w:val="24"/>
          <w:szCs w:val="24"/>
        </w:rPr>
      </w:pPr>
      <w:bookmarkStart w:id="0" w:name="_GoBack"/>
      <w:bookmarkEnd w:id="0"/>
      <w:r>
        <w:rPr>
          <w:b/>
          <w:bCs/>
          <w:sz w:val="24"/>
          <w:szCs w:val="24"/>
        </w:rPr>
        <w:t>Ενημερωτικό σημε</w:t>
      </w:r>
      <w:r w:rsidR="00344371">
        <w:rPr>
          <w:b/>
          <w:bCs/>
          <w:sz w:val="24"/>
          <w:szCs w:val="24"/>
        </w:rPr>
        <w:t>ίω</w:t>
      </w:r>
      <w:r>
        <w:rPr>
          <w:b/>
          <w:bCs/>
          <w:sz w:val="24"/>
          <w:szCs w:val="24"/>
        </w:rPr>
        <w:t xml:space="preserve">μα </w:t>
      </w:r>
      <w:r w:rsidRPr="00DB75A3">
        <w:rPr>
          <w:b/>
          <w:bCs/>
          <w:sz w:val="24"/>
          <w:szCs w:val="24"/>
        </w:rPr>
        <w:t>για την αύξηση του κατώτατου μισθού</w:t>
      </w:r>
    </w:p>
    <w:p w:rsidR="005F6464" w:rsidRPr="00DB75A3" w:rsidRDefault="005F6464" w:rsidP="004F0E0D">
      <w:pPr>
        <w:jc w:val="center"/>
        <w:rPr>
          <w:rFonts w:cstheme="minorHAnsi"/>
          <w:b/>
          <w:sz w:val="24"/>
          <w:szCs w:val="24"/>
        </w:rPr>
      </w:pPr>
    </w:p>
    <w:p w:rsidR="001629E4" w:rsidRDefault="00DB75A3" w:rsidP="00FD4BD0">
      <w:pPr>
        <w:spacing w:line="240" w:lineRule="auto"/>
        <w:jc w:val="both"/>
        <w:rPr>
          <w:rFonts w:cstheme="minorHAnsi"/>
          <w:sz w:val="24"/>
          <w:szCs w:val="24"/>
        </w:rPr>
      </w:pPr>
      <w:r w:rsidRPr="00DB75A3">
        <w:rPr>
          <w:rFonts w:cstheme="minorHAnsi"/>
          <w:sz w:val="24"/>
          <w:szCs w:val="24"/>
        </w:rPr>
        <w:t xml:space="preserve">Σε συνέχεια των ανακοινώσεων του πρωθυπουργού </w:t>
      </w:r>
      <w:r w:rsidR="00F83017">
        <w:rPr>
          <w:rFonts w:cstheme="minorHAnsi"/>
          <w:sz w:val="24"/>
          <w:szCs w:val="24"/>
        </w:rPr>
        <w:t xml:space="preserve">κ. </w:t>
      </w:r>
      <w:r w:rsidR="00F83017" w:rsidRPr="004F6A57">
        <w:rPr>
          <w:rFonts w:cstheme="minorHAnsi"/>
          <w:b/>
          <w:sz w:val="24"/>
          <w:szCs w:val="24"/>
        </w:rPr>
        <w:t>Κυριάκου Μητσοτάκη</w:t>
      </w:r>
      <w:r w:rsidR="00F83017">
        <w:rPr>
          <w:rFonts w:cstheme="minorHAnsi"/>
          <w:sz w:val="24"/>
          <w:szCs w:val="24"/>
        </w:rPr>
        <w:t xml:space="preserve"> </w:t>
      </w:r>
      <w:r w:rsidRPr="00DB75A3">
        <w:rPr>
          <w:rFonts w:cstheme="minorHAnsi"/>
          <w:sz w:val="24"/>
          <w:szCs w:val="24"/>
        </w:rPr>
        <w:t xml:space="preserve">για την αύξηση του κατώτατου μισθού σας αποστέλλουμε </w:t>
      </w:r>
      <w:r w:rsidR="001629E4">
        <w:rPr>
          <w:rFonts w:cstheme="minorHAnsi"/>
          <w:sz w:val="24"/>
          <w:szCs w:val="24"/>
        </w:rPr>
        <w:t>επεξηγήσεις για το πως θα διαμορφωθούν τα πράγματα μετά την νέα αύξηση του κατώτατου μισθού, α. σε μορφή ερωτήσεων – απαντήσεων και β. σε μορφή συγκριτικών πινάκων.</w:t>
      </w:r>
    </w:p>
    <w:p w:rsidR="00DB75A3" w:rsidRPr="00DB75A3" w:rsidRDefault="00DB75A3" w:rsidP="00FD4BD0">
      <w:pPr>
        <w:spacing w:line="240" w:lineRule="auto"/>
        <w:jc w:val="both"/>
        <w:rPr>
          <w:rFonts w:cstheme="minorHAnsi"/>
          <w:sz w:val="24"/>
          <w:szCs w:val="24"/>
        </w:rPr>
      </w:pPr>
    </w:p>
    <w:p w:rsidR="00DB75A3" w:rsidRPr="00971F77" w:rsidRDefault="00971F77" w:rsidP="00971F77">
      <w:pPr>
        <w:jc w:val="center"/>
        <w:rPr>
          <w:b/>
          <w:sz w:val="24"/>
          <w:szCs w:val="24"/>
        </w:rPr>
      </w:pPr>
      <w:r w:rsidRPr="00971F77">
        <w:rPr>
          <w:b/>
          <w:sz w:val="24"/>
          <w:szCs w:val="24"/>
        </w:rPr>
        <w:t>ΕΡΩΤΗΣΕΙΣ-ΑΠΑΝΤΗΣΕΙΣ</w:t>
      </w:r>
    </w:p>
    <w:p w:rsidR="00DB75A3" w:rsidRPr="00DB75A3" w:rsidRDefault="00DB75A3" w:rsidP="00DB75A3">
      <w:pPr>
        <w:jc w:val="both"/>
        <w:rPr>
          <w:sz w:val="24"/>
          <w:szCs w:val="24"/>
        </w:rPr>
      </w:pPr>
      <w:r w:rsidRPr="00DB75A3">
        <w:rPr>
          <w:b/>
          <w:sz w:val="24"/>
          <w:szCs w:val="24"/>
        </w:rPr>
        <w:t>1.</w:t>
      </w:r>
      <w:r w:rsidRPr="00DB75A3">
        <w:rPr>
          <w:b/>
          <w:bCs/>
          <w:sz w:val="24"/>
          <w:szCs w:val="24"/>
        </w:rPr>
        <w:t xml:space="preserve"> Με ποια κριτήρια αποφασίστηκε η αύξηση του κατώτατου μισθού κατά</w:t>
      </w:r>
      <w:r w:rsidRPr="00DB75A3">
        <w:rPr>
          <w:sz w:val="24"/>
          <w:szCs w:val="24"/>
        </w:rPr>
        <w:t xml:space="preserve"> </w:t>
      </w:r>
      <w:r w:rsidRPr="00DB75A3">
        <w:rPr>
          <w:b/>
          <w:sz w:val="24"/>
          <w:szCs w:val="24"/>
        </w:rPr>
        <w:t>7,5 %;</w:t>
      </w:r>
    </w:p>
    <w:p w:rsidR="00DB75A3" w:rsidRPr="00DB75A3" w:rsidRDefault="00DB75A3" w:rsidP="00DB75A3">
      <w:pPr>
        <w:jc w:val="both"/>
        <w:rPr>
          <w:sz w:val="24"/>
          <w:szCs w:val="24"/>
        </w:rPr>
      </w:pPr>
      <w:r w:rsidRPr="00DB75A3">
        <w:rPr>
          <w:sz w:val="24"/>
          <w:szCs w:val="24"/>
        </w:rPr>
        <w:t xml:space="preserve">Η νέα σημαντική  αύξηση του κατώτατου μισθού επιτυγχάνει μια χρυσή τομή ανάμεσα σε διαφορετικές ανάγκες. Από την μια πλευρά τον </w:t>
      </w:r>
      <w:r w:rsidRPr="00DB75A3">
        <w:rPr>
          <w:b/>
          <w:sz w:val="24"/>
          <w:szCs w:val="24"/>
        </w:rPr>
        <w:t xml:space="preserve">μετριασμό των απωλειών </w:t>
      </w:r>
      <w:r w:rsidRPr="00DB75A3">
        <w:rPr>
          <w:sz w:val="24"/>
          <w:szCs w:val="24"/>
        </w:rPr>
        <w:t xml:space="preserve">στην αγοραστική δύναμη των μισθών και την ικανοποίηση της εύλογης προσδοκίας των εργαζομένων να έχουν και εκείνοι μέρισμα από την ανάπτυξη που επετεύχθη το 2021. Από την άλλη πλευρά την </w:t>
      </w:r>
      <w:r w:rsidRPr="00DB75A3">
        <w:rPr>
          <w:b/>
          <w:sz w:val="24"/>
          <w:szCs w:val="24"/>
        </w:rPr>
        <w:t xml:space="preserve">διαφύλαξη της ανταγωνιστικότητας </w:t>
      </w:r>
      <w:r w:rsidRPr="00DB75A3">
        <w:rPr>
          <w:sz w:val="24"/>
          <w:szCs w:val="24"/>
        </w:rPr>
        <w:t>της ελληνικής οικονομίας και την αποφυγή αρνητικών επιπτώσεων στην απασχόληση και την ανεργία.</w:t>
      </w:r>
    </w:p>
    <w:p w:rsidR="00DB75A3" w:rsidRPr="00DB75A3" w:rsidRDefault="00DB75A3" w:rsidP="00DB75A3">
      <w:pPr>
        <w:jc w:val="both"/>
        <w:rPr>
          <w:sz w:val="24"/>
          <w:szCs w:val="24"/>
        </w:rPr>
      </w:pPr>
    </w:p>
    <w:p w:rsidR="00DB75A3" w:rsidRPr="009E51F5" w:rsidRDefault="00FE10E7" w:rsidP="00DB75A3">
      <w:pPr>
        <w:jc w:val="both"/>
        <w:rPr>
          <w:b/>
          <w:bCs/>
          <w:sz w:val="24"/>
          <w:szCs w:val="24"/>
        </w:rPr>
      </w:pPr>
      <w:r>
        <w:rPr>
          <w:b/>
          <w:bCs/>
          <w:sz w:val="24"/>
          <w:szCs w:val="24"/>
        </w:rPr>
        <w:t>2.Πώς</w:t>
      </w:r>
      <w:r w:rsidR="00DB75A3" w:rsidRPr="00DB75A3">
        <w:rPr>
          <w:b/>
          <w:bCs/>
          <w:sz w:val="24"/>
          <w:szCs w:val="24"/>
        </w:rPr>
        <w:t xml:space="preserve"> διαμορφώνεται ο νέος κατώτατος μισθός και τι σημαίνει αυτό</w:t>
      </w:r>
      <w:r w:rsidR="009E51F5">
        <w:rPr>
          <w:b/>
          <w:bCs/>
          <w:sz w:val="24"/>
          <w:szCs w:val="24"/>
        </w:rPr>
        <w:t xml:space="preserve"> για την τσέπη των εργαζομένων</w:t>
      </w:r>
      <w:r w:rsidR="009E51F5" w:rsidRPr="009E51F5">
        <w:rPr>
          <w:b/>
          <w:bCs/>
          <w:sz w:val="24"/>
          <w:szCs w:val="24"/>
        </w:rPr>
        <w:t xml:space="preserve"> </w:t>
      </w:r>
      <w:r w:rsidR="009E51F5">
        <w:rPr>
          <w:b/>
          <w:bCs/>
          <w:sz w:val="24"/>
          <w:szCs w:val="24"/>
        </w:rPr>
        <w:t>;</w:t>
      </w:r>
    </w:p>
    <w:p w:rsidR="00DB75A3" w:rsidRPr="00DE09BF" w:rsidRDefault="00DB75A3" w:rsidP="00DB75A3">
      <w:pPr>
        <w:jc w:val="both"/>
        <w:rPr>
          <w:b/>
          <w:sz w:val="24"/>
          <w:szCs w:val="24"/>
        </w:rPr>
      </w:pPr>
      <w:r w:rsidRPr="00DB75A3">
        <w:rPr>
          <w:sz w:val="24"/>
          <w:szCs w:val="24"/>
        </w:rPr>
        <w:t>Ο νέος κατώτατος μισθός αυξάνεται από 1</w:t>
      </w:r>
      <w:r w:rsidRPr="00DB75A3">
        <w:rPr>
          <w:sz w:val="24"/>
          <w:szCs w:val="24"/>
          <w:vertAlign w:val="superscript"/>
        </w:rPr>
        <w:t>ης</w:t>
      </w:r>
      <w:r w:rsidRPr="00DB75A3">
        <w:rPr>
          <w:sz w:val="24"/>
          <w:szCs w:val="24"/>
        </w:rPr>
        <w:t xml:space="preserve"> </w:t>
      </w:r>
      <w:r w:rsidR="009E51F5" w:rsidRPr="00DB75A3">
        <w:rPr>
          <w:sz w:val="24"/>
          <w:szCs w:val="24"/>
        </w:rPr>
        <w:t>Μαΐου</w:t>
      </w:r>
      <w:r w:rsidR="009E51F5">
        <w:rPr>
          <w:sz w:val="24"/>
          <w:szCs w:val="24"/>
        </w:rPr>
        <w:t xml:space="preserve"> </w:t>
      </w:r>
      <w:r w:rsidRPr="00DB75A3">
        <w:rPr>
          <w:sz w:val="24"/>
          <w:szCs w:val="24"/>
        </w:rPr>
        <w:t xml:space="preserve"> κατά 7,5 %</w:t>
      </w:r>
      <w:r w:rsidR="00AB1CFC">
        <w:rPr>
          <w:sz w:val="24"/>
          <w:szCs w:val="24"/>
        </w:rPr>
        <w:t>,</w:t>
      </w:r>
      <w:r w:rsidRPr="00DB75A3">
        <w:rPr>
          <w:sz w:val="24"/>
          <w:szCs w:val="24"/>
        </w:rPr>
        <w:t xml:space="preserve"> ή 50 ευρώ το μήνα και διαμορφώνεται σε 713  ευρώ το μήνα, από 663 ευρώ προηγουμένως. Δεδομένου ότι καταβάλλονται 14 μισθοί το χρόνο, το ετήσιο όφελος για τους εργαζόμενους από την αύξηση ισούται με </w:t>
      </w:r>
      <w:r w:rsidRPr="00DB75A3">
        <w:rPr>
          <w:b/>
          <w:sz w:val="24"/>
          <w:szCs w:val="24"/>
        </w:rPr>
        <w:t xml:space="preserve">έναν επιπλέον μισθό </w:t>
      </w:r>
      <w:r w:rsidRPr="00DB75A3">
        <w:rPr>
          <w:sz w:val="24"/>
          <w:szCs w:val="24"/>
        </w:rPr>
        <w:t xml:space="preserve">(50 ευρώ η μηνιαία αύξηση επί </w:t>
      </w:r>
      <w:r w:rsidRPr="009E51F5">
        <w:rPr>
          <w:sz w:val="24"/>
          <w:szCs w:val="24"/>
        </w:rPr>
        <w:t>14</w:t>
      </w:r>
      <w:r w:rsidRPr="00DB75A3">
        <w:rPr>
          <w:sz w:val="24"/>
          <w:szCs w:val="24"/>
        </w:rPr>
        <w:t xml:space="preserve"> μισθούς</w:t>
      </w:r>
      <w:r w:rsidRPr="009E51F5">
        <w:rPr>
          <w:sz w:val="24"/>
          <w:szCs w:val="24"/>
        </w:rPr>
        <w:t>=</w:t>
      </w:r>
      <w:r w:rsidRPr="009E51F5">
        <w:rPr>
          <w:b/>
          <w:sz w:val="24"/>
          <w:szCs w:val="24"/>
        </w:rPr>
        <w:t xml:space="preserve">700 </w:t>
      </w:r>
      <w:r w:rsidRPr="00DB75A3">
        <w:rPr>
          <w:b/>
          <w:sz w:val="24"/>
          <w:szCs w:val="24"/>
        </w:rPr>
        <w:t>ευρώ</w:t>
      </w:r>
      <w:r w:rsidRPr="00DB75A3">
        <w:rPr>
          <w:sz w:val="24"/>
          <w:szCs w:val="24"/>
        </w:rPr>
        <w:t>). Οι μηνιαίες αποδοχές αν συνυπολογισθ</w:t>
      </w:r>
      <w:r w:rsidR="00082B2E">
        <w:rPr>
          <w:sz w:val="24"/>
          <w:szCs w:val="24"/>
        </w:rPr>
        <w:t xml:space="preserve">εί η καταβολή </w:t>
      </w:r>
      <w:r w:rsidRPr="00DB75A3">
        <w:rPr>
          <w:sz w:val="24"/>
          <w:szCs w:val="24"/>
        </w:rPr>
        <w:t>14 μισθ</w:t>
      </w:r>
      <w:r w:rsidR="00082B2E">
        <w:rPr>
          <w:sz w:val="24"/>
          <w:szCs w:val="24"/>
        </w:rPr>
        <w:t xml:space="preserve">ών το χρόνο </w:t>
      </w:r>
      <w:r w:rsidRPr="00DB75A3">
        <w:rPr>
          <w:sz w:val="24"/>
          <w:szCs w:val="24"/>
        </w:rPr>
        <w:t xml:space="preserve">διαμορφώνονται </w:t>
      </w:r>
      <w:r w:rsidRPr="001841A8">
        <w:rPr>
          <w:b/>
          <w:sz w:val="24"/>
          <w:szCs w:val="24"/>
        </w:rPr>
        <w:t>σε 831,8 ευρώ</w:t>
      </w:r>
      <w:r w:rsidRPr="00DB75A3">
        <w:rPr>
          <w:sz w:val="24"/>
          <w:szCs w:val="24"/>
        </w:rPr>
        <w:t xml:space="preserve"> από 773,5 ευρώ σήμερα.</w:t>
      </w:r>
      <w:r w:rsidR="00DE09BF">
        <w:rPr>
          <w:sz w:val="24"/>
          <w:szCs w:val="24"/>
        </w:rPr>
        <w:t xml:space="preserve"> Οι σχεδόν 650.000 εργαζόμενοι που αμείβονται με τον κατώτατο μισθό θα κερδίσουν από έναν επιπλέον μισθό ετησίως. </w:t>
      </w:r>
      <w:r w:rsidR="0058586D">
        <w:rPr>
          <w:sz w:val="24"/>
          <w:szCs w:val="24"/>
        </w:rPr>
        <w:t>Με άλλα λόγια, ένας</w:t>
      </w:r>
      <w:r w:rsidR="00DE09BF">
        <w:rPr>
          <w:sz w:val="24"/>
          <w:szCs w:val="24"/>
        </w:rPr>
        <w:t xml:space="preserve"> 15</w:t>
      </w:r>
      <w:r w:rsidR="00DE09BF" w:rsidRPr="00DE09BF">
        <w:rPr>
          <w:sz w:val="24"/>
          <w:szCs w:val="24"/>
          <w:vertAlign w:val="superscript"/>
        </w:rPr>
        <w:t>ος</w:t>
      </w:r>
      <w:r w:rsidR="00DE09BF">
        <w:rPr>
          <w:sz w:val="24"/>
          <w:szCs w:val="24"/>
        </w:rPr>
        <w:t xml:space="preserve"> μισθός προστίθεται στο εξής, στο εισόδημά τους.  </w:t>
      </w:r>
    </w:p>
    <w:p w:rsidR="00DE09BF" w:rsidRDefault="00DE09BF" w:rsidP="00DB75A3">
      <w:pPr>
        <w:jc w:val="both"/>
        <w:rPr>
          <w:b/>
          <w:sz w:val="24"/>
          <w:szCs w:val="24"/>
        </w:rPr>
      </w:pPr>
    </w:p>
    <w:p w:rsidR="001629E4" w:rsidRPr="001629E4" w:rsidRDefault="001629E4" w:rsidP="00DB75A3">
      <w:pPr>
        <w:jc w:val="both"/>
        <w:rPr>
          <w:b/>
          <w:sz w:val="24"/>
          <w:szCs w:val="24"/>
        </w:rPr>
      </w:pPr>
      <w:r w:rsidRPr="001629E4">
        <w:rPr>
          <w:b/>
          <w:sz w:val="24"/>
          <w:szCs w:val="24"/>
        </w:rPr>
        <w:t xml:space="preserve">3.Δεδομένου ότι είχε δοθεί και </w:t>
      </w:r>
      <w:r>
        <w:rPr>
          <w:b/>
          <w:sz w:val="24"/>
          <w:szCs w:val="24"/>
        </w:rPr>
        <w:t xml:space="preserve">μια </w:t>
      </w:r>
      <w:r w:rsidRPr="001629E4">
        <w:rPr>
          <w:b/>
          <w:sz w:val="24"/>
          <w:szCs w:val="24"/>
        </w:rPr>
        <w:t xml:space="preserve">αύξηση </w:t>
      </w:r>
      <w:r w:rsidR="006944F8">
        <w:rPr>
          <w:b/>
          <w:sz w:val="24"/>
          <w:szCs w:val="24"/>
        </w:rPr>
        <w:t>2</w:t>
      </w:r>
      <w:r w:rsidRPr="001629E4">
        <w:rPr>
          <w:b/>
          <w:sz w:val="24"/>
          <w:szCs w:val="24"/>
        </w:rPr>
        <w:t xml:space="preserve"> % από 1.1.2022, </w:t>
      </w:r>
      <w:r>
        <w:rPr>
          <w:b/>
          <w:sz w:val="24"/>
          <w:szCs w:val="24"/>
        </w:rPr>
        <w:t>πώς διαμορφώνεται η κατάσταση για τον εργαζόμενο συνολικά;</w:t>
      </w:r>
    </w:p>
    <w:p w:rsidR="00DB75A3" w:rsidRPr="00DB75A3" w:rsidRDefault="00DB75A3" w:rsidP="00DB75A3">
      <w:pPr>
        <w:jc w:val="both"/>
        <w:rPr>
          <w:b/>
          <w:sz w:val="24"/>
          <w:szCs w:val="24"/>
        </w:rPr>
      </w:pPr>
      <w:r w:rsidRPr="00DB75A3">
        <w:rPr>
          <w:sz w:val="24"/>
          <w:szCs w:val="24"/>
        </w:rPr>
        <w:lastRenderedPageBreak/>
        <w:t xml:space="preserve">Αν συνυπολογισθεί και η προηγούμενη αύξηση του κατώτατου μισθού που έγινε την </w:t>
      </w:r>
      <w:r w:rsidRPr="00DB75A3">
        <w:rPr>
          <w:b/>
          <w:sz w:val="24"/>
          <w:szCs w:val="24"/>
        </w:rPr>
        <w:t>1</w:t>
      </w:r>
      <w:r w:rsidRPr="00DB75A3">
        <w:rPr>
          <w:b/>
          <w:sz w:val="24"/>
          <w:szCs w:val="24"/>
          <w:vertAlign w:val="superscript"/>
        </w:rPr>
        <w:t>η</w:t>
      </w:r>
      <w:r w:rsidRPr="00DB75A3">
        <w:rPr>
          <w:b/>
          <w:sz w:val="24"/>
          <w:szCs w:val="24"/>
        </w:rPr>
        <w:t xml:space="preserve"> Ιανουαρίου</w:t>
      </w:r>
      <w:r w:rsidRPr="00DB75A3">
        <w:rPr>
          <w:sz w:val="24"/>
          <w:szCs w:val="24"/>
        </w:rPr>
        <w:t xml:space="preserve"> 2022, προκύπτει </w:t>
      </w:r>
      <w:r w:rsidRPr="00DB75A3">
        <w:rPr>
          <w:b/>
          <w:sz w:val="24"/>
          <w:szCs w:val="24"/>
        </w:rPr>
        <w:t xml:space="preserve">αύξηση </w:t>
      </w:r>
      <w:r w:rsidR="00AB1CFC">
        <w:rPr>
          <w:b/>
          <w:sz w:val="24"/>
          <w:szCs w:val="24"/>
        </w:rPr>
        <w:t xml:space="preserve">κατά </w:t>
      </w:r>
      <w:r w:rsidR="00AB1CFC" w:rsidRPr="00DB75A3">
        <w:rPr>
          <w:b/>
          <w:sz w:val="24"/>
          <w:szCs w:val="24"/>
        </w:rPr>
        <w:t>9,7 %,</w:t>
      </w:r>
      <w:r w:rsidR="00AB1CFC" w:rsidRPr="00DB75A3">
        <w:rPr>
          <w:sz w:val="24"/>
          <w:szCs w:val="24"/>
        </w:rPr>
        <w:t xml:space="preserve"> </w:t>
      </w:r>
      <w:r w:rsidR="00AB1CFC">
        <w:rPr>
          <w:sz w:val="24"/>
          <w:szCs w:val="24"/>
        </w:rPr>
        <w:t xml:space="preserve">ή </w:t>
      </w:r>
      <w:r w:rsidRPr="00DB75A3">
        <w:rPr>
          <w:b/>
          <w:sz w:val="24"/>
          <w:szCs w:val="24"/>
        </w:rPr>
        <w:t xml:space="preserve">63 ευρώ το μήνα </w:t>
      </w:r>
      <w:r w:rsidRPr="00DB75A3">
        <w:rPr>
          <w:sz w:val="24"/>
          <w:szCs w:val="24"/>
        </w:rPr>
        <w:t xml:space="preserve">(από 650 ευρώ στα 713 ευρώ). Δεδομένου ότι καταβάλλονται 14 μισθοί, το </w:t>
      </w:r>
      <w:r w:rsidRPr="00DB75A3">
        <w:rPr>
          <w:b/>
          <w:sz w:val="24"/>
          <w:szCs w:val="24"/>
        </w:rPr>
        <w:t xml:space="preserve">όφελος από την διπλή αύξηση του κατώτατου μισθού το 2022 διαμορφώνεται στα 882 ευρώ </w:t>
      </w:r>
      <w:r w:rsidR="001629E4">
        <w:rPr>
          <w:b/>
          <w:sz w:val="24"/>
          <w:szCs w:val="24"/>
        </w:rPr>
        <w:t xml:space="preserve">ετησίως </w:t>
      </w:r>
      <w:r w:rsidRPr="00DB75A3">
        <w:rPr>
          <w:b/>
          <w:sz w:val="24"/>
          <w:szCs w:val="24"/>
        </w:rPr>
        <w:t>(63 ευρώ επί 14 μισθούς).</w:t>
      </w:r>
    </w:p>
    <w:p w:rsidR="00DB75A3" w:rsidRPr="00DB75A3" w:rsidRDefault="00B34A59" w:rsidP="00DB75A3">
      <w:pPr>
        <w:jc w:val="both"/>
        <w:rPr>
          <w:sz w:val="24"/>
          <w:szCs w:val="24"/>
        </w:rPr>
      </w:pPr>
      <w:r>
        <w:rPr>
          <w:sz w:val="24"/>
          <w:szCs w:val="24"/>
        </w:rPr>
        <w:t xml:space="preserve">Στην </w:t>
      </w:r>
      <w:r w:rsidR="009E51F5">
        <w:rPr>
          <w:sz w:val="24"/>
          <w:szCs w:val="24"/>
        </w:rPr>
        <w:t xml:space="preserve">πραγματικότητα </w:t>
      </w:r>
      <w:r>
        <w:rPr>
          <w:sz w:val="24"/>
          <w:szCs w:val="24"/>
        </w:rPr>
        <w:t>ωστόσο η</w:t>
      </w:r>
      <w:r w:rsidR="00DB75A3" w:rsidRPr="00DB75A3">
        <w:rPr>
          <w:sz w:val="24"/>
          <w:szCs w:val="24"/>
        </w:rPr>
        <w:t xml:space="preserve"> αύξηση του καθαρού μισθού είναι ακόμα μεγαλύτερη και διαμορφώνεται στο 11,81 % αν συνυπολογισθεί η μείωση </w:t>
      </w:r>
      <w:r w:rsidR="0057267F">
        <w:rPr>
          <w:sz w:val="24"/>
          <w:szCs w:val="24"/>
        </w:rPr>
        <w:t xml:space="preserve">κατά </w:t>
      </w:r>
      <w:r w:rsidR="0057267F" w:rsidRPr="00DB75A3">
        <w:rPr>
          <w:sz w:val="24"/>
          <w:szCs w:val="24"/>
        </w:rPr>
        <w:t xml:space="preserve">1,63 </w:t>
      </w:r>
      <w:r w:rsidR="0057267F">
        <w:rPr>
          <w:sz w:val="24"/>
          <w:szCs w:val="24"/>
        </w:rPr>
        <w:t>ποσοστιαίες μονάδες</w:t>
      </w:r>
      <w:r w:rsidR="0057267F" w:rsidRPr="009E51F5">
        <w:rPr>
          <w:sz w:val="24"/>
          <w:szCs w:val="24"/>
        </w:rPr>
        <w:t xml:space="preserve"> </w:t>
      </w:r>
      <w:r w:rsidR="00DB75A3" w:rsidRPr="00DB75A3">
        <w:rPr>
          <w:sz w:val="24"/>
          <w:szCs w:val="24"/>
        </w:rPr>
        <w:t>των ασφαλιστικών εισφορών που καταβά</w:t>
      </w:r>
      <w:r w:rsidR="009E51F5">
        <w:rPr>
          <w:sz w:val="24"/>
          <w:szCs w:val="24"/>
        </w:rPr>
        <w:t>λ</w:t>
      </w:r>
      <w:r w:rsidR="00DB75A3" w:rsidRPr="00DB75A3">
        <w:rPr>
          <w:sz w:val="24"/>
          <w:szCs w:val="24"/>
        </w:rPr>
        <w:t xml:space="preserve">λουν οι εργαζόμενοι που έχει ήδη υλοποιηθεί. </w:t>
      </w:r>
      <w:r w:rsidR="00DB75A3" w:rsidRPr="00DB75A3">
        <w:rPr>
          <w:b/>
          <w:sz w:val="24"/>
          <w:szCs w:val="24"/>
        </w:rPr>
        <w:t>Το σωρευτικό ετήσιο όφελος για έναν εργαζόμενο από τις δ</w:t>
      </w:r>
      <w:r w:rsidR="00AB1CFC">
        <w:rPr>
          <w:b/>
          <w:sz w:val="24"/>
          <w:szCs w:val="24"/>
        </w:rPr>
        <w:t>ύ</w:t>
      </w:r>
      <w:r w:rsidR="00DB75A3" w:rsidRPr="00DB75A3">
        <w:rPr>
          <w:b/>
          <w:sz w:val="24"/>
          <w:szCs w:val="24"/>
        </w:rPr>
        <w:t xml:space="preserve">ο αυξήσεις του </w:t>
      </w:r>
      <w:r w:rsidR="009E51F5">
        <w:rPr>
          <w:b/>
          <w:sz w:val="24"/>
          <w:szCs w:val="24"/>
        </w:rPr>
        <w:t>κατώτατου μισθού το 2022 και τη</w:t>
      </w:r>
      <w:r w:rsidR="00DB75A3" w:rsidRPr="00DB75A3">
        <w:rPr>
          <w:b/>
          <w:sz w:val="24"/>
          <w:szCs w:val="24"/>
        </w:rPr>
        <w:t xml:space="preserve"> μείωση των ασφαλιστικών εισφορών ανέρχεται σε 906 ευρώ. </w:t>
      </w:r>
    </w:p>
    <w:p w:rsidR="00916721" w:rsidRDefault="00916721" w:rsidP="00DB75A3">
      <w:pPr>
        <w:jc w:val="both"/>
        <w:rPr>
          <w:b/>
          <w:sz w:val="24"/>
          <w:szCs w:val="24"/>
        </w:rPr>
      </w:pPr>
    </w:p>
    <w:p w:rsidR="00CD18CF" w:rsidRPr="006516E4" w:rsidRDefault="00CD18CF" w:rsidP="00DB75A3">
      <w:pPr>
        <w:jc w:val="both"/>
        <w:rPr>
          <w:b/>
          <w:sz w:val="24"/>
          <w:szCs w:val="24"/>
        </w:rPr>
      </w:pPr>
      <w:r w:rsidRPr="006516E4">
        <w:rPr>
          <w:b/>
          <w:sz w:val="24"/>
          <w:szCs w:val="24"/>
        </w:rPr>
        <w:t>4.Τι θα συμβεί με τις λεγόμενες «τριετίες», δηλαδή τ</w:t>
      </w:r>
      <w:r w:rsidR="009E51F5">
        <w:rPr>
          <w:b/>
          <w:sz w:val="24"/>
          <w:szCs w:val="24"/>
        </w:rPr>
        <w:t>ην προϋπηρεσία των εργαζομένων π</w:t>
      </w:r>
      <w:r w:rsidRPr="006516E4">
        <w:rPr>
          <w:b/>
          <w:sz w:val="24"/>
          <w:szCs w:val="24"/>
        </w:rPr>
        <w:t>ου αμείβονται με τον κατώτατο μισθό;</w:t>
      </w:r>
    </w:p>
    <w:p w:rsidR="00DB75A3" w:rsidRDefault="00CD18CF" w:rsidP="00DB75A3">
      <w:pPr>
        <w:jc w:val="both"/>
        <w:rPr>
          <w:sz w:val="24"/>
          <w:szCs w:val="24"/>
        </w:rPr>
      </w:pPr>
      <w:r>
        <w:rPr>
          <w:sz w:val="24"/>
          <w:szCs w:val="24"/>
        </w:rPr>
        <w:t xml:space="preserve">Συνεχίζεται το σημερινό καθεστώς, δηλαδή με άλλα λόγια οι «τριετίες» συνεχίζουν να </w:t>
      </w:r>
      <w:r w:rsidR="009E51F5">
        <w:rPr>
          <w:sz w:val="24"/>
          <w:szCs w:val="24"/>
        </w:rPr>
        <w:t xml:space="preserve">καταβάλλονται. Πιο συγκεκριμένα, </w:t>
      </w:r>
      <w:r>
        <w:rPr>
          <w:sz w:val="24"/>
          <w:szCs w:val="24"/>
        </w:rPr>
        <w:t>ο</w:t>
      </w:r>
      <w:r w:rsidR="00DB75A3" w:rsidRPr="00DB75A3">
        <w:rPr>
          <w:sz w:val="24"/>
          <w:szCs w:val="24"/>
        </w:rPr>
        <w:t xml:space="preserve"> κατώτατος μισθός και το κατώτατο ημερομίσθιο προσαυξάνονται μέχρι και 30% ανάλογα με τα έτη προϋπηρεσίας που έχει συμπληρώσει ο/η εργαζόμενος/η πριν τις 14 Φεβρουαρίου του 2012. Συνεπώς ο μηνιαίος μικτός κατώτατος μισθός για τους εργαζόμενους με τρεις </w:t>
      </w:r>
      <w:r w:rsidR="00DB75A3" w:rsidRPr="00F62A26">
        <w:rPr>
          <w:b/>
          <w:sz w:val="24"/>
          <w:szCs w:val="24"/>
        </w:rPr>
        <w:t>τριετίες</w:t>
      </w:r>
      <w:r w:rsidR="00DB75A3" w:rsidRPr="00DB75A3">
        <w:rPr>
          <w:sz w:val="24"/>
          <w:szCs w:val="24"/>
        </w:rPr>
        <w:t xml:space="preserve"> μπορεί να είναι </w:t>
      </w:r>
      <w:r w:rsidR="00DB75A3" w:rsidRPr="00F62A26">
        <w:rPr>
          <w:b/>
          <w:sz w:val="24"/>
          <w:szCs w:val="24"/>
        </w:rPr>
        <w:t>έως και 213 ευρώ</w:t>
      </w:r>
      <w:r>
        <w:rPr>
          <w:b/>
          <w:sz w:val="24"/>
          <w:szCs w:val="24"/>
        </w:rPr>
        <w:t xml:space="preserve"> </w:t>
      </w:r>
      <w:r w:rsidRPr="00DB75A3">
        <w:rPr>
          <w:sz w:val="24"/>
          <w:szCs w:val="24"/>
        </w:rPr>
        <w:t>υψηλότερος</w:t>
      </w:r>
      <w:r w:rsidR="00DB75A3" w:rsidRPr="00DB75A3">
        <w:rPr>
          <w:sz w:val="24"/>
          <w:szCs w:val="24"/>
        </w:rPr>
        <w:t xml:space="preserve"> (713 ευρώ +  30 %). </w:t>
      </w:r>
      <w:r w:rsidR="003170F6">
        <w:rPr>
          <w:sz w:val="24"/>
          <w:szCs w:val="24"/>
        </w:rPr>
        <w:t>Με άλλα λόγια ο κατώτατος μισθός σε αυτήν την περίπτωση μπορεί να ανέρχεται στα 926 ευρώ συν δώρ</w:t>
      </w:r>
      <w:r w:rsidR="00916721">
        <w:rPr>
          <w:sz w:val="24"/>
          <w:szCs w:val="24"/>
        </w:rPr>
        <w:t>ο Χριστουγέννων, Πάσχα και το επίδομα αδείας.</w:t>
      </w:r>
    </w:p>
    <w:p w:rsidR="00BF0934" w:rsidRPr="00DB75A3" w:rsidRDefault="00BF0934" w:rsidP="00DB75A3">
      <w:pPr>
        <w:jc w:val="both"/>
        <w:rPr>
          <w:b/>
          <w:sz w:val="24"/>
          <w:szCs w:val="24"/>
        </w:rPr>
      </w:pPr>
    </w:p>
    <w:p w:rsidR="00DB75A3" w:rsidRPr="00DB75A3" w:rsidRDefault="006516E4" w:rsidP="00DB75A3">
      <w:pPr>
        <w:jc w:val="both"/>
        <w:rPr>
          <w:b/>
          <w:sz w:val="24"/>
          <w:szCs w:val="24"/>
        </w:rPr>
      </w:pPr>
      <w:r>
        <w:rPr>
          <w:b/>
          <w:sz w:val="24"/>
          <w:szCs w:val="24"/>
        </w:rPr>
        <w:t>5</w:t>
      </w:r>
      <w:r w:rsidR="00DB75A3" w:rsidRPr="00DB75A3">
        <w:rPr>
          <w:b/>
          <w:sz w:val="24"/>
          <w:szCs w:val="24"/>
        </w:rPr>
        <w:t>. Πώς επηρεάζει η αύξηση του κατώτατου μισθού τα επιδόματα του ΟΑΕΔ;</w:t>
      </w:r>
    </w:p>
    <w:p w:rsidR="00DB75A3" w:rsidRPr="00DB75A3" w:rsidRDefault="00DB75A3" w:rsidP="00DB75A3">
      <w:pPr>
        <w:jc w:val="both"/>
        <w:rPr>
          <w:b/>
          <w:sz w:val="24"/>
          <w:szCs w:val="24"/>
        </w:rPr>
      </w:pPr>
      <w:r w:rsidRPr="00DB75A3">
        <w:rPr>
          <w:sz w:val="24"/>
          <w:szCs w:val="24"/>
        </w:rPr>
        <w:t xml:space="preserve">Η αύξηση του κατώτατου μισθού συμπαρασύρει προς τα πάνω το </w:t>
      </w:r>
      <w:r w:rsidRPr="00DB75A3">
        <w:rPr>
          <w:b/>
          <w:sz w:val="24"/>
          <w:szCs w:val="24"/>
        </w:rPr>
        <w:t>επίδομα ανεργίας</w:t>
      </w:r>
      <w:r w:rsidRPr="00DB75A3">
        <w:rPr>
          <w:sz w:val="24"/>
          <w:szCs w:val="24"/>
        </w:rPr>
        <w:t>. Σήμερα το ημερήσιο επίδομα είναι 16,29 ευρώ και το μηνιαίο 407,25 ευρώ. Από 1</w:t>
      </w:r>
      <w:r w:rsidRPr="00DB75A3">
        <w:rPr>
          <w:sz w:val="24"/>
          <w:szCs w:val="24"/>
          <w:vertAlign w:val="superscript"/>
        </w:rPr>
        <w:t>ης</w:t>
      </w:r>
      <w:r w:rsidRPr="00DB75A3">
        <w:rPr>
          <w:sz w:val="24"/>
          <w:szCs w:val="24"/>
        </w:rPr>
        <w:t xml:space="preserve"> </w:t>
      </w:r>
      <w:r w:rsidR="009E51F5" w:rsidRPr="00DB75A3">
        <w:rPr>
          <w:sz w:val="24"/>
          <w:szCs w:val="24"/>
        </w:rPr>
        <w:t>Μαΐου</w:t>
      </w:r>
      <w:r w:rsidRPr="00DB75A3">
        <w:rPr>
          <w:sz w:val="24"/>
          <w:szCs w:val="24"/>
        </w:rPr>
        <w:t xml:space="preserve"> διαμορφώνονται αντίστοιχα στα 17,51 ευρώ το ημερήσιο και </w:t>
      </w:r>
      <w:r w:rsidRPr="00DB75A3">
        <w:rPr>
          <w:b/>
          <w:sz w:val="24"/>
          <w:szCs w:val="24"/>
        </w:rPr>
        <w:t>438 ευρώ το μηνιαίο.</w:t>
      </w:r>
    </w:p>
    <w:p w:rsidR="00DB75A3" w:rsidRPr="00DB75A3" w:rsidRDefault="00DB75A3" w:rsidP="00DB75A3">
      <w:pPr>
        <w:jc w:val="both"/>
        <w:rPr>
          <w:sz w:val="24"/>
          <w:szCs w:val="24"/>
        </w:rPr>
      </w:pPr>
      <w:r w:rsidRPr="00DB75A3">
        <w:rPr>
          <w:sz w:val="24"/>
          <w:szCs w:val="24"/>
        </w:rPr>
        <w:t xml:space="preserve">Επίσης </w:t>
      </w:r>
      <w:r w:rsidRPr="00DB75A3">
        <w:rPr>
          <w:b/>
          <w:sz w:val="24"/>
          <w:szCs w:val="24"/>
        </w:rPr>
        <w:t>αναπροσαρμόζεται σειρά βοηθημάτων</w:t>
      </w:r>
      <w:r w:rsidRPr="00DB75A3">
        <w:rPr>
          <w:sz w:val="24"/>
          <w:szCs w:val="24"/>
        </w:rPr>
        <w:t xml:space="preserve"> και επιδομάτων που έχουν ως βάση υπολογισμού τον κατώτατο μισθό ή ημερομίσθιο. Σε αυτά περιλαμβάνονται μεταξύ άλλων το βοήθημα ανεργίας για τους αυτοτελώς απασχολούμενους, τα προγράμματα νέων θέσεων εργασίας, το ειδικό βοήθημα λήξης ανεργίας, το βοήθημα λόγω επίσχεσης εργασίας, ειδικά εποχικά βοηθήματα για μισθωτούς τουριστικού και επισιτιστικού κλάδου, οικοδόμους, δασεργάτες κ.α., η ειδική παροχή μητρότητας, το επίδομα γονικής άδειας, οι ανεξόφλητες αποδοχές λόγω αφερεγγυότητας του εργοδότη, η παροχή διαθεσιμότητας, η αποζημίωση των μαθητών στις Επαγγελματικές Σχολές (ΕΠΑ.Σ) Μαθητείας του ΟΑΕΔ, η αποζημίωση για τα προγράμματα εργασιακής εμπειρίας, κ.α. </w:t>
      </w:r>
    </w:p>
    <w:p w:rsidR="00DB75A3" w:rsidRPr="00DB75A3" w:rsidRDefault="00DB75A3" w:rsidP="00DB75A3">
      <w:pPr>
        <w:jc w:val="both"/>
        <w:rPr>
          <w:b/>
          <w:sz w:val="24"/>
          <w:szCs w:val="24"/>
        </w:rPr>
      </w:pPr>
    </w:p>
    <w:p w:rsidR="00DB75A3" w:rsidRPr="00DB75A3" w:rsidRDefault="00916721" w:rsidP="00DB75A3">
      <w:pPr>
        <w:jc w:val="both"/>
        <w:rPr>
          <w:b/>
          <w:sz w:val="24"/>
          <w:szCs w:val="24"/>
        </w:rPr>
      </w:pPr>
      <w:r>
        <w:rPr>
          <w:b/>
          <w:sz w:val="24"/>
          <w:szCs w:val="24"/>
        </w:rPr>
        <w:lastRenderedPageBreak/>
        <w:t>6</w:t>
      </w:r>
      <w:r w:rsidR="00DB75A3" w:rsidRPr="00DB75A3">
        <w:rPr>
          <w:b/>
          <w:sz w:val="24"/>
          <w:szCs w:val="24"/>
        </w:rPr>
        <w:t>.</w:t>
      </w:r>
      <w:r w:rsidR="003D1C56">
        <w:rPr>
          <w:b/>
          <w:sz w:val="24"/>
          <w:szCs w:val="24"/>
        </w:rPr>
        <w:t>Η κυβέρνηση είχε</w:t>
      </w:r>
      <w:r w:rsidR="00DB75A3" w:rsidRPr="00DB75A3">
        <w:rPr>
          <w:b/>
          <w:sz w:val="24"/>
          <w:szCs w:val="24"/>
        </w:rPr>
        <w:t xml:space="preserve"> υποσχεθεί ότι η αύξηση του κατώτατου μισθού θα ήταν διπλάσια από το ποσοστό ανάπτυξης, το οποίο το 2021 ήταν 8,3%. Συνεπώς θα έπρεπε να εγκρ</w:t>
      </w:r>
      <w:r w:rsidR="003D1C56">
        <w:rPr>
          <w:b/>
          <w:sz w:val="24"/>
          <w:szCs w:val="24"/>
        </w:rPr>
        <w:t>ιθεί</w:t>
      </w:r>
      <w:r w:rsidR="00DB75A3" w:rsidRPr="00DB75A3">
        <w:rPr>
          <w:b/>
          <w:sz w:val="24"/>
          <w:szCs w:val="24"/>
        </w:rPr>
        <w:t xml:space="preserve"> αύξηση πάνω από 16% για να </w:t>
      </w:r>
      <w:r w:rsidR="003D1C56">
        <w:rPr>
          <w:b/>
          <w:sz w:val="24"/>
          <w:szCs w:val="24"/>
        </w:rPr>
        <w:t>υλοποιηθούν οι</w:t>
      </w:r>
      <w:r w:rsidR="00DB75A3" w:rsidRPr="00DB75A3">
        <w:rPr>
          <w:b/>
          <w:sz w:val="24"/>
          <w:szCs w:val="24"/>
        </w:rPr>
        <w:t xml:space="preserve"> προεκλογικές δεσμεύσεις;</w:t>
      </w:r>
    </w:p>
    <w:p w:rsidR="00DB75A3" w:rsidRPr="00DB75A3" w:rsidRDefault="00DB75A3" w:rsidP="00DB75A3">
      <w:pPr>
        <w:jc w:val="both"/>
        <w:rPr>
          <w:sz w:val="24"/>
          <w:szCs w:val="24"/>
        </w:rPr>
      </w:pPr>
      <w:r w:rsidRPr="00DB75A3">
        <w:rPr>
          <w:sz w:val="24"/>
          <w:szCs w:val="24"/>
        </w:rPr>
        <w:t xml:space="preserve">Πράγματι το 2021 η οικονομία αναπτύχθηκε με ρυθμό 8,3 %, προηγήθηκε </w:t>
      </w:r>
      <w:r w:rsidR="00F92333">
        <w:rPr>
          <w:sz w:val="24"/>
          <w:szCs w:val="24"/>
        </w:rPr>
        <w:t xml:space="preserve">όμως, λόγω </w:t>
      </w:r>
      <w:proofErr w:type="spellStart"/>
      <w:r w:rsidR="00F92333">
        <w:rPr>
          <w:sz w:val="24"/>
          <w:szCs w:val="24"/>
        </w:rPr>
        <w:t>κορονοϊού</w:t>
      </w:r>
      <w:proofErr w:type="spellEnd"/>
      <w:r w:rsidR="00F92333">
        <w:rPr>
          <w:sz w:val="24"/>
          <w:szCs w:val="24"/>
        </w:rPr>
        <w:t>,</w:t>
      </w:r>
      <w:r w:rsidRPr="00DB75A3">
        <w:rPr>
          <w:sz w:val="24"/>
          <w:szCs w:val="24"/>
        </w:rPr>
        <w:t xml:space="preserve"> </w:t>
      </w:r>
      <w:r w:rsidRPr="00DB75A3">
        <w:rPr>
          <w:b/>
          <w:sz w:val="24"/>
          <w:szCs w:val="24"/>
        </w:rPr>
        <w:t>ύφεση 9 % το 2020</w:t>
      </w:r>
      <w:r w:rsidR="00F92333">
        <w:rPr>
          <w:b/>
          <w:sz w:val="24"/>
          <w:szCs w:val="24"/>
        </w:rPr>
        <w:t>!</w:t>
      </w:r>
      <w:r w:rsidRPr="00DB75A3">
        <w:rPr>
          <w:sz w:val="24"/>
          <w:szCs w:val="24"/>
        </w:rPr>
        <w:t xml:space="preserve"> Παρά τη συρρίκνωση του ΑΕΠ το 2020, η κυβέρνηση αποφάσισε το καλοκαίρι του 2021 </w:t>
      </w:r>
      <w:r w:rsidR="00F92333">
        <w:rPr>
          <w:b/>
          <w:sz w:val="24"/>
          <w:szCs w:val="24"/>
        </w:rPr>
        <w:t>μια μικρή</w:t>
      </w:r>
      <w:r w:rsidRPr="00DB75A3">
        <w:rPr>
          <w:b/>
          <w:sz w:val="24"/>
          <w:szCs w:val="24"/>
        </w:rPr>
        <w:t xml:space="preserve"> αύξηση</w:t>
      </w:r>
      <w:r w:rsidRPr="00DB75A3">
        <w:rPr>
          <w:sz w:val="24"/>
          <w:szCs w:val="24"/>
        </w:rPr>
        <w:t xml:space="preserve"> του κατώτατου μισθού κατά 2 %, με ισχύ από 1ης Ιανουαρίου 2022. Συνεπώς </w:t>
      </w:r>
      <w:r w:rsidR="003D1C56">
        <w:rPr>
          <w:sz w:val="24"/>
          <w:szCs w:val="24"/>
        </w:rPr>
        <w:t>η κυβέρνηση είναι</w:t>
      </w:r>
      <w:r w:rsidRPr="00DB75A3">
        <w:rPr>
          <w:sz w:val="24"/>
          <w:szCs w:val="24"/>
        </w:rPr>
        <w:t xml:space="preserve"> συνεπ</w:t>
      </w:r>
      <w:r w:rsidR="003D1C56">
        <w:rPr>
          <w:sz w:val="24"/>
          <w:szCs w:val="24"/>
        </w:rPr>
        <w:t>ή</w:t>
      </w:r>
      <w:r w:rsidRPr="00DB75A3">
        <w:rPr>
          <w:sz w:val="24"/>
          <w:szCs w:val="24"/>
        </w:rPr>
        <w:t xml:space="preserve">ς και με το παραπάνω προς τις προεκλογικές </w:t>
      </w:r>
      <w:r w:rsidR="00A016E7">
        <w:rPr>
          <w:sz w:val="24"/>
          <w:szCs w:val="24"/>
        </w:rPr>
        <w:t>της</w:t>
      </w:r>
      <w:r w:rsidRPr="00DB75A3">
        <w:rPr>
          <w:sz w:val="24"/>
          <w:szCs w:val="24"/>
        </w:rPr>
        <w:t xml:space="preserve"> δεσμεύσεις, χωρίς να θέτε</w:t>
      </w:r>
      <w:r w:rsidR="00A016E7">
        <w:rPr>
          <w:sz w:val="24"/>
          <w:szCs w:val="24"/>
        </w:rPr>
        <w:t>ι</w:t>
      </w:r>
      <w:r w:rsidRPr="00DB75A3">
        <w:rPr>
          <w:sz w:val="24"/>
          <w:szCs w:val="24"/>
        </w:rPr>
        <w:t xml:space="preserve"> σε κίνδυνο τις επιχειρήσεις και την πορεία της οικονομίας. Σημειώνεται πως ούτε η ΓΣΕΕ εισηγείται σε αυτή τη φάση τόσο μεγάλη (16 %) αύξηση του κατώτατου μισθού.</w:t>
      </w:r>
    </w:p>
    <w:p w:rsidR="00DB75A3" w:rsidRPr="00DB75A3" w:rsidRDefault="00DB75A3" w:rsidP="00DB75A3">
      <w:pPr>
        <w:jc w:val="both"/>
        <w:rPr>
          <w:sz w:val="24"/>
          <w:szCs w:val="24"/>
        </w:rPr>
      </w:pPr>
    </w:p>
    <w:p w:rsidR="00DB75A3" w:rsidRPr="00DB75A3" w:rsidRDefault="00726C59" w:rsidP="00DB75A3">
      <w:pPr>
        <w:jc w:val="both"/>
        <w:rPr>
          <w:b/>
          <w:sz w:val="24"/>
          <w:szCs w:val="24"/>
        </w:rPr>
      </w:pPr>
      <w:r>
        <w:rPr>
          <w:b/>
          <w:sz w:val="24"/>
          <w:szCs w:val="24"/>
        </w:rPr>
        <w:t>7</w:t>
      </w:r>
      <w:r w:rsidR="00DB75A3" w:rsidRPr="00DB75A3">
        <w:rPr>
          <w:b/>
          <w:sz w:val="24"/>
          <w:szCs w:val="24"/>
        </w:rPr>
        <w:t>.Η αύξηση του κατώτατου μισθού αρκεί για να αντιμετωπιστεί το κύμα ακρίβειας;</w:t>
      </w:r>
    </w:p>
    <w:p w:rsidR="00DB75A3" w:rsidRPr="00DB75A3" w:rsidRDefault="00DB75A3" w:rsidP="00DB75A3">
      <w:pPr>
        <w:jc w:val="both"/>
        <w:rPr>
          <w:sz w:val="24"/>
          <w:szCs w:val="24"/>
        </w:rPr>
      </w:pPr>
      <w:r w:rsidRPr="00DB75A3">
        <w:rPr>
          <w:sz w:val="24"/>
          <w:szCs w:val="24"/>
        </w:rPr>
        <w:t>Η αύξηση του κατώτατου μισθού για το 2022 (2 % από 1</w:t>
      </w:r>
      <w:r w:rsidRPr="00DB75A3">
        <w:rPr>
          <w:sz w:val="24"/>
          <w:szCs w:val="24"/>
          <w:vertAlign w:val="superscript"/>
        </w:rPr>
        <w:t>ης</w:t>
      </w:r>
      <w:r w:rsidRPr="00DB75A3">
        <w:rPr>
          <w:sz w:val="24"/>
          <w:szCs w:val="24"/>
        </w:rPr>
        <w:t xml:space="preserve"> Ιανουαρίου + 7,5 % από 1</w:t>
      </w:r>
      <w:r w:rsidRPr="00DB75A3">
        <w:rPr>
          <w:sz w:val="24"/>
          <w:szCs w:val="24"/>
          <w:vertAlign w:val="superscript"/>
        </w:rPr>
        <w:t>ης</w:t>
      </w:r>
      <w:r w:rsidRPr="00DB75A3">
        <w:rPr>
          <w:sz w:val="24"/>
          <w:szCs w:val="24"/>
        </w:rPr>
        <w:t xml:space="preserve"> </w:t>
      </w:r>
      <w:r w:rsidR="009E51F5" w:rsidRPr="00DB75A3">
        <w:rPr>
          <w:sz w:val="24"/>
          <w:szCs w:val="24"/>
        </w:rPr>
        <w:t>Μαΐου</w:t>
      </w:r>
      <w:r w:rsidRPr="00DB75A3">
        <w:rPr>
          <w:sz w:val="24"/>
          <w:szCs w:val="24"/>
        </w:rPr>
        <w:t xml:space="preserve">) είναι σωρευτικά 9,7 %. Το ποσοστό αυτό </w:t>
      </w:r>
      <w:r w:rsidRPr="00DB75A3">
        <w:rPr>
          <w:b/>
          <w:sz w:val="24"/>
          <w:szCs w:val="24"/>
        </w:rPr>
        <w:t>υπερκαλύπτει την αύξηση του πληθωρισμού,</w:t>
      </w:r>
      <w:r w:rsidRPr="00DB75A3">
        <w:rPr>
          <w:sz w:val="24"/>
          <w:szCs w:val="24"/>
        </w:rPr>
        <w:t xml:space="preserve"> ο οποίος το Μάρτιο ήταν 8,9 %. Επιπλέον, η αύξηση του κατώτατου μισθού είναι ένα</w:t>
      </w:r>
      <w:r w:rsidR="00057315">
        <w:rPr>
          <w:sz w:val="24"/>
          <w:szCs w:val="24"/>
        </w:rPr>
        <w:t xml:space="preserve"> μόνο</w:t>
      </w:r>
      <w:r w:rsidRPr="00DB75A3">
        <w:rPr>
          <w:sz w:val="24"/>
          <w:szCs w:val="24"/>
        </w:rPr>
        <w:t xml:space="preserve"> από τα όπλα για τη στήριξη των εργαζομένων. Η κυβέρνηση εφαρμόζει </w:t>
      </w:r>
      <w:r w:rsidRPr="00DB75A3">
        <w:rPr>
          <w:b/>
          <w:sz w:val="24"/>
          <w:szCs w:val="24"/>
        </w:rPr>
        <w:t xml:space="preserve">μια ευρεία γκάμα μέτρων </w:t>
      </w:r>
      <w:r w:rsidRPr="00DB75A3">
        <w:rPr>
          <w:sz w:val="24"/>
          <w:szCs w:val="24"/>
        </w:rPr>
        <w:t>που αντισταθμίζουν σε μεγάλο βαθμό την άνοδο του κόστους ζωής, ιδίως για τις πιο ευάλωτες ομάδες πληθυσμού. Μεταξύ αυτών περιλαμβάνονται η μείωση των ασφαλιστικών εισφορών και του φόρου εισοδήματος, η μείωση του ΕΝΦΙΑ, οι επιδοτήσεις στους λογαριασμούς ρεύματος και φυσικού αερίου, που είναι μεγαλύτερες για τους δικαιούχους του Κοινωνικού Οικιακού Τιμολογίου, η επιδότηση καυσίμων, η έκτακτη ενίσχυση 200 ευρώ σε χαμηλοσυνταξιούχους, ανασφάλιστους υπερήλικ</w:t>
      </w:r>
      <w:r w:rsidR="00EC49F0">
        <w:rPr>
          <w:sz w:val="24"/>
          <w:szCs w:val="24"/>
        </w:rPr>
        <w:t>ε</w:t>
      </w:r>
      <w:r w:rsidRPr="00DB75A3">
        <w:rPr>
          <w:sz w:val="24"/>
          <w:szCs w:val="24"/>
        </w:rPr>
        <w:t xml:space="preserve">ς και άτομα με ειδικές ανάγκες, η καταβολή διπλής δόσης του Ελάχιστου Εγγυημένου Εισοδήματος, κ.α. Πάνω </w:t>
      </w:r>
      <w:proofErr w:type="spellStart"/>
      <w:r w:rsidRPr="00DB75A3">
        <w:rPr>
          <w:sz w:val="24"/>
          <w:szCs w:val="24"/>
        </w:rPr>
        <w:t>απ</w:t>
      </w:r>
      <w:proofErr w:type="spellEnd"/>
      <w:r w:rsidRPr="00DB75A3">
        <w:rPr>
          <w:sz w:val="24"/>
          <w:szCs w:val="24"/>
        </w:rPr>
        <w:t>΄</w:t>
      </w:r>
      <w:r w:rsidR="009127B2">
        <w:rPr>
          <w:sz w:val="24"/>
          <w:szCs w:val="24"/>
        </w:rPr>
        <w:t xml:space="preserve"> </w:t>
      </w:r>
      <w:r w:rsidRPr="00DB75A3">
        <w:rPr>
          <w:sz w:val="24"/>
          <w:szCs w:val="24"/>
        </w:rPr>
        <w:t xml:space="preserve">όλα η συνολική οικονομική, </w:t>
      </w:r>
      <w:proofErr w:type="spellStart"/>
      <w:r w:rsidRPr="00DB75A3">
        <w:rPr>
          <w:sz w:val="24"/>
          <w:szCs w:val="24"/>
        </w:rPr>
        <w:t>αδειοδοτική</w:t>
      </w:r>
      <w:proofErr w:type="spellEnd"/>
      <w:r w:rsidRPr="00DB75A3">
        <w:rPr>
          <w:sz w:val="24"/>
          <w:szCs w:val="24"/>
        </w:rPr>
        <w:t xml:space="preserve">, φορολογική πολιτική που οδήγησε στην σημαντική ανάπτυξη της οικονομίας το 2021 η οποία αναμένεται να συνεχιστεί εφέτος.  </w:t>
      </w:r>
      <w:r w:rsidR="00202F5B">
        <w:rPr>
          <w:sz w:val="24"/>
          <w:szCs w:val="24"/>
        </w:rPr>
        <w:t xml:space="preserve">Πολιτική που είχε ως άμεση θετική συνέπεια </w:t>
      </w:r>
      <w:r w:rsidR="009E51F5">
        <w:rPr>
          <w:sz w:val="24"/>
          <w:szCs w:val="24"/>
        </w:rPr>
        <w:t xml:space="preserve"> η ανεργία να υποχωρήσει </w:t>
      </w:r>
      <w:r w:rsidR="00202F5B">
        <w:rPr>
          <w:sz w:val="24"/>
          <w:szCs w:val="24"/>
        </w:rPr>
        <w:t>από το 17,2 % το καλοκαίρι του 2019 στο 12,8 % τον Φεβρουάριο του 2022.</w:t>
      </w:r>
    </w:p>
    <w:p w:rsidR="00DB75A3" w:rsidRPr="00DB75A3" w:rsidRDefault="00DB75A3" w:rsidP="00DB75A3">
      <w:pPr>
        <w:jc w:val="both"/>
        <w:rPr>
          <w:sz w:val="24"/>
          <w:szCs w:val="24"/>
        </w:rPr>
      </w:pPr>
    </w:p>
    <w:p w:rsidR="00DB75A3" w:rsidRPr="00DB75A3" w:rsidRDefault="00726C59" w:rsidP="00DB75A3">
      <w:pPr>
        <w:jc w:val="both"/>
        <w:rPr>
          <w:b/>
          <w:sz w:val="24"/>
          <w:szCs w:val="24"/>
        </w:rPr>
      </w:pPr>
      <w:r>
        <w:rPr>
          <w:b/>
          <w:sz w:val="24"/>
          <w:szCs w:val="24"/>
        </w:rPr>
        <w:t>8</w:t>
      </w:r>
      <w:r w:rsidR="00DB75A3" w:rsidRPr="00DB75A3">
        <w:rPr>
          <w:b/>
          <w:sz w:val="24"/>
          <w:szCs w:val="24"/>
        </w:rPr>
        <w:t>.Οι επιχειρήσεις είναι αντιμέτωπες αυτήν την περίοδο με μεγάλη αύξηση του κόστους λειτουργίας λόγω της διεθνούς κρίσης. Θεωρείτε ότι θα μπορέσουν, ιδίως οι μικρομεσαίες, να καλύψουν το πρόσθετο μισθολογικό κόστος;</w:t>
      </w:r>
    </w:p>
    <w:p w:rsidR="00DB75A3" w:rsidRDefault="00DB75A3" w:rsidP="00DB75A3">
      <w:pPr>
        <w:jc w:val="both"/>
        <w:rPr>
          <w:sz w:val="24"/>
          <w:szCs w:val="24"/>
        </w:rPr>
      </w:pPr>
      <w:r w:rsidRPr="00DB75A3">
        <w:rPr>
          <w:sz w:val="24"/>
          <w:szCs w:val="24"/>
        </w:rPr>
        <w:t xml:space="preserve">Στην απόφαση για την αύξηση του κατώτατου μισθού ελήφθησαν υπόψη από τη μια πλευρά </w:t>
      </w:r>
      <w:r w:rsidR="00A75793" w:rsidRPr="00DB75A3">
        <w:rPr>
          <w:sz w:val="24"/>
          <w:szCs w:val="24"/>
        </w:rPr>
        <w:t>η ανάγκη προστασίας των εργαζομένων</w:t>
      </w:r>
      <w:r w:rsidR="00A75793">
        <w:rPr>
          <w:sz w:val="24"/>
          <w:szCs w:val="24"/>
        </w:rPr>
        <w:t xml:space="preserve"> </w:t>
      </w:r>
      <w:r w:rsidR="00A75793" w:rsidRPr="00DB75A3">
        <w:rPr>
          <w:sz w:val="24"/>
          <w:szCs w:val="24"/>
        </w:rPr>
        <w:t xml:space="preserve">και από την άλλη </w:t>
      </w:r>
      <w:r w:rsidRPr="00DB75A3">
        <w:rPr>
          <w:sz w:val="24"/>
          <w:szCs w:val="24"/>
        </w:rPr>
        <w:t xml:space="preserve">η ανταγωνιστικότητα της οικονομίας. </w:t>
      </w:r>
      <w:r w:rsidR="00A75793">
        <w:rPr>
          <w:sz w:val="24"/>
          <w:szCs w:val="24"/>
        </w:rPr>
        <w:t>Προφανώς ο</w:t>
      </w:r>
      <w:r w:rsidRPr="00DB75A3">
        <w:rPr>
          <w:sz w:val="24"/>
          <w:szCs w:val="24"/>
        </w:rPr>
        <w:t xml:space="preserve">ι δύσκολες συνθήκες που έχουν δημιουργηθεί διεθνώς, επηρεάζουν </w:t>
      </w:r>
      <w:r w:rsidR="00FA51F1">
        <w:rPr>
          <w:sz w:val="24"/>
          <w:szCs w:val="24"/>
        </w:rPr>
        <w:t>και</w:t>
      </w:r>
      <w:r w:rsidRPr="00DB75A3">
        <w:rPr>
          <w:sz w:val="24"/>
          <w:szCs w:val="24"/>
        </w:rPr>
        <w:t xml:space="preserve"> τις επιχειρήσεις. </w:t>
      </w:r>
      <w:proofErr w:type="spellStart"/>
      <w:r w:rsidR="003C6001">
        <w:rPr>
          <w:sz w:val="24"/>
          <w:szCs w:val="24"/>
        </w:rPr>
        <w:t>Γι</w:t>
      </w:r>
      <w:proofErr w:type="spellEnd"/>
      <w:r w:rsidR="003C6001">
        <w:rPr>
          <w:sz w:val="24"/>
          <w:szCs w:val="24"/>
        </w:rPr>
        <w:t xml:space="preserve"> αυτό και δεν υιοθετήθηκαν αιτήματα για αρκετά μεγαλύτερη αύξηση του κατώτατου μισθού</w:t>
      </w:r>
      <w:r w:rsidR="00292481">
        <w:rPr>
          <w:sz w:val="24"/>
          <w:szCs w:val="24"/>
        </w:rPr>
        <w:t xml:space="preserve">, </w:t>
      </w:r>
      <w:r w:rsidR="00292481">
        <w:rPr>
          <w:sz w:val="24"/>
          <w:szCs w:val="24"/>
        </w:rPr>
        <w:lastRenderedPageBreak/>
        <w:t>δεδομένου ότι μια αλόγιστη απόφαση θα μπορούσε να έχει επιπτώσεις τόσο στις επιχειρήσεις – με αποσταθεροποίησή τους - όσο συνακόλουθα και στους εργαζομένους που εργάζονται σε αυτές</w:t>
      </w:r>
      <w:r w:rsidR="003C6001">
        <w:rPr>
          <w:sz w:val="24"/>
          <w:szCs w:val="24"/>
        </w:rPr>
        <w:t>.</w:t>
      </w:r>
      <w:r w:rsidR="000D7BB4">
        <w:rPr>
          <w:sz w:val="24"/>
          <w:szCs w:val="24"/>
        </w:rPr>
        <w:t xml:space="preserve"> Από την άλλη πλευρά υπενθυμίζουμε ότι τους τελευταίους 33 μήνες έχουν υιοθετηθεί μια σειρά από μέτρα προς όφελος των επιχειρήσεων και της ανταγωνιστικότητάς τους όπως μείωση φόρων, μείωση ασφαλιστικών εισφορών και μια σειρά μέτρα για την αντ</w:t>
      </w:r>
      <w:r w:rsidR="009E51F5">
        <w:rPr>
          <w:sz w:val="24"/>
          <w:szCs w:val="24"/>
        </w:rPr>
        <w:t xml:space="preserve">ιμετώπιση των συνεπειών του </w:t>
      </w:r>
      <w:proofErr w:type="spellStart"/>
      <w:r w:rsidR="009E51F5">
        <w:rPr>
          <w:sz w:val="24"/>
          <w:szCs w:val="24"/>
        </w:rPr>
        <w:t>κορω</w:t>
      </w:r>
      <w:r w:rsidR="000D7BB4">
        <w:rPr>
          <w:sz w:val="24"/>
          <w:szCs w:val="24"/>
        </w:rPr>
        <w:t>νοιού</w:t>
      </w:r>
      <w:proofErr w:type="spellEnd"/>
      <w:r w:rsidR="000D7BB4">
        <w:rPr>
          <w:sz w:val="24"/>
          <w:szCs w:val="24"/>
        </w:rPr>
        <w:t xml:space="preserve"> (επιστρεπτέα προκαταβολή, ειδικά προγράμματα στήριξης, κλπ.)</w:t>
      </w:r>
      <w:r w:rsidR="003C6001">
        <w:rPr>
          <w:sz w:val="24"/>
          <w:szCs w:val="24"/>
        </w:rPr>
        <w:t xml:space="preserve"> </w:t>
      </w:r>
      <w:r w:rsidRPr="00DB75A3">
        <w:rPr>
          <w:sz w:val="24"/>
          <w:szCs w:val="24"/>
        </w:rPr>
        <w:t xml:space="preserve">Σημειώνεται </w:t>
      </w:r>
      <w:r w:rsidR="000D7BB4">
        <w:rPr>
          <w:sz w:val="24"/>
          <w:szCs w:val="24"/>
        </w:rPr>
        <w:t>επίσης</w:t>
      </w:r>
      <w:r w:rsidRPr="00DB75A3">
        <w:rPr>
          <w:sz w:val="24"/>
          <w:szCs w:val="24"/>
        </w:rPr>
        <w:t xml:space="preserve"> ότι </w:t>
      </w:r>
      <w:r w:rsidRPr="00DB75A3">
        <w:rPr>
          <w:b/>
          <w:sz w:val="24"/>
          <w:szCs w:val="24"/>
        </w:rPr>
        <w:t>όλοι οι φορείς</w:t>
      </w:r>
      <w:r w:rsidRPr="00DB75A3">
        <w:rPr>
          <w:sz w:val="24"/>
          <w:szCs w:val="24"/>
        </w:rPr>
        <w:t xml:space="preserve"> που συμμετείχαν στη διαβούλευση (εκπρόσωποι μικρών και μεγάλων επιχειρήσεων, επιστημονικοί φορείς και φυσικά η ΓΣΕΕ) </w:t>
      </w:r>
      <w:r w:rsidR="007A0651">
        <w:rPr>
          <w:b/>
          <w:sz w:val="24"/>
          <w:szCs w:val="24"/>
        </w:rPr>
        <w:t>εισηγήθηκαν</w:t>
      </w:r>
      <w:r w:rsidRPr="00DB75A3">
        <w:rPr>
          <w:b/>
          <w:sz w:val="24"/>
          <w:szCs w:val="24"/>
        </w:rPr>
        <w:t xml:space="preserve"> την αύξηση </w:t>
      </w:r>
      <w:r w:rsidRPr="00DB75A3">
        <w:rPr>
          <w:sz w:val="24"/>
          <w:szCs w:val="24"/>
        </w:rPr>
        <w:t>του κατώτατου μισθού, σε διαφορετικό επίπεδο ο καθένας. Δεν υπάρχει κανείς που να προτείνει σήμερα το “πάγωμα” του κατώτατου μισθού.</w:t>
      </w:r>
    </w:p>
    <w:p w:rsidR="00DB75A3" w:rsidRPr="00DB75A3" w:rsidRDefault="00726C59" w:rsidP="00DB75A3">
      <w:pPr>
        <w:jc w:val="both"/>
        <w:rPr>
          <w:b/>
          <w:sz w:val="24"/>
          <w:szCs w:val="24"/>
        </w:rPr>
      </w:pPr>
      <w:r>
        <w:rPr>
          <w:b/>
          <w:sz w:val="24"/>
          <w:szCs w:val="24"/>
        </w:rPr>
        <w:t>9</w:t>
      </w:r>
      <w:r w:rsidR="00DB75A3" w:rsidRPr="00DB75A3">
        <w:rPr>
          <w:b/>
          <w:sz w:val="24"/>
          <w:szCs w:val="24"/>
        </w:rPr>
        <w:t>.Πώς διαμορφώνεται ο κατώτατος μισθός στην Ελλάδα σε σχέση με την ΕΕ;</w:t>
      </w:r>
    </w:p>
    <w:p w:rsidR="00DB75A3" w:rsidRPr="00DB75A3" w:rsidRDefault="00DB75A3" w:rsidP="00DB75A3">
      <w:pPr>
        <w:jc w:val="both"/>
        <w:rPr>
          <w:sz w:val="24"/>
          <w:szCs w:val="24"/>
        </w:rPr>
      </w:pPr>
      <w:r w:rsidRPr="00DB75A3">
        <w:rPr>
          <w:sz w:val="24"/>
          <w:szCs w:val="24"/>
        </w:rPr>
        <w:t>Με την αύξηση που θα ισχύσει από 1</w:t>
      </w:r>
      <w:r w:rsidRPr="00DB75A3">
        <w:rPr>
          <w:sz w:val="24"/>
          <w:szCs w:val="24"/>
          <w:vertAlign w:val="superscript"/>
        </w:rPr>
        <w:t>ης</w:t>
      </w:r>
      <w:r w:rsidRPr="00DB75A3">
        <w:rPr>
          <w:sz w:val="24"/>
          <w:szCs w:val="24"/>
        </w:rPr>
        <w:t xml:space="preserve"> </w:t>
      </w:r>
      <w:r w:rsidR="007A0651" w:rsidRPr="00DB75A3">
        <w:rPr>
          <w:sz w:val="24"/>
          <w:szCs w:val="24"/>
        </w:rPr>
        <w:t>Μαΐου</w:t>
      </w:r>
      <w:r w:rsidRPr="00DB75A3">
        <w:rPr>
          <w:sz w:val="24"/>
          <w:szCs w:val="24"/>
        </w:rPr>
        <w:t xml:space="preserve">, η Ελλάδα κατατάσσεται στην </w:t>
      </w:r>
      <w:r w:rsidRPr="00DB75A3">
        <w:rPr>
          <w:b/>
          <w:sz w:val="24"/>
          <w:szCs w:val="24"/>
        </w:rPr>
        <w:t>9</w:t>
      </w:r>
      <w:r w:rsidRPr="00DB75A3">
        <w:rPr>
          <w:b/>
          <w:sz w:val="24"/>
          <w:szCs w:val="24"/>
          <w:vertAlign w:val="superscript"/>
        </w:rPr>
        <w:t>η</w:t>
      </w:r>
      <w:r w:rsidRPr="00DB75A3">
        <w:rPr>
          <w:b/>
          <w:sz w:val="24"/>
          <w:szCs w:val="24"/>
        </w:rPr>
        <w:t xml:space="preserve"> θέση</w:t>
      </w:r>
      <w:r w:rsidRPr="00DB75A3">
        <w:rPr>
          <w:sz w:val="24"/>
          <w:szCs w:val="24"/>
        </w:rPr>
        <w:t xml:space="preserve"> ανάμεσα σε 21 χώρες της ΕΕ που έχουν νομοθετημένο κατώτατο μισθό, </w:t>
      </w:r>
      <w:r w:rsidRPr="00DB75A3">
        <w:rPr>
          <w:b/>
          <w:sz w:val="24"/>
          <w:szCs w:val="24"/>
        </w:rPr>
        <w:t>από την 11</w:t>
      </w:r>
      <w:r w:rsidRPr="00DB75A3">
        <w:rPr>
          <w:b/>
          <w:sz w:val="24"/>
          <w:szCs w:val="24"/>
          <w:vertAlign w:val="superscript"/>
        </w:rPr>
        <w:t>η</w:t>
      </w:r>
      <w:r w:rsidRPr="00DB75A3">
        <w:rPr>
          <w:sz w:val="24"/>
          <w:szCs w:val="24"/>
        </w:rPr>
        <w:t xml:space="preserve"> που βρισκόταν ως τώρα. Συγκεκριμένα με την αύξηση κατά 7,5 % στα 831,8 ευρώ σε 12μηνη βάση, οι κατώτατες αποδοχές στη χώρα μας ανεβαίνουν </w:t>
      </w:r>
      <w:r w:rsidR="00C31822" w:rsidRPr="00DB75A3">
        <w:rPr>
          <w:sz w:val="24"/>
          <w:szCs w:val="24"/>
        </w:rPr>
        <w:t xml:space="preserve">στην κατάταξη </w:t>
      </w:r>
      <w:r w:rsidRPr="00DB75A3">
        <w:rPr>
          <w:sz w:val="24"/>
          <w:szCs w:val="24"/>
        </w:rPr>
        <w:t xml:space="preserve">κατά 2 θέσεις ξεπερνώντας την </w:t>
      </w:r>
      <w:r w:rsidRPr="00DB75A3">
        <w:rPr>
          <w:b/>
          <w:sz w:val="24"/>
          <w:szCs w:val="24"/>
        </w:rPr>
        <w:t>Πορτογαλία</w:t>
      </w:r>
      <w:r w:rsidRPr="00DB75A3">
        <w:rPr>
          <w:sz w:val="24"/>
          <w:szCs w:val="24"/>
        </w:rPr>
        <w:t xml:space="preserve"> (822,5 ευρώ) και την </w:t>
      </w:r>
      <w:r w:rsidRPr="00DB75A3">
        <w:rPr>
          <w:b/>
          <w:sz w:val="24"/>
          <w:szCs w:val="24"/>
        </w:rPr>
        <w:t>Μάλτα</w:t>
      </w:r>
      <w:r w:rsidRPr="00DB75A3">
        <w:rPr>
          <w:sz w:val="24"/>
          <w:szCs w:val="24"/>
        </w:rPr>
        <w:t xml:space="preserve"> (792,26 ευρώ).</w:t>
      </w:r>
    </w:p>
    <w:p w:rsidR="00DB75A3" w:rsidRPr="00DB75A3" w:rsidRDefault="00DB75A3" w:rsidP="00DB75A3">
      <w:pPr>
        <w:jc w:val="both"/>
        <w:rPr>
          <w:sz w:val="24"/>
          <w:szCs w:val="24"/>
        </w:rPr>
      </w:pPr>
    </w:p>
    <w:p w:rsidR="00DB75A3" w:rsidRPr="00DB75A3" w:rsidRDefault="00726C59" w:rsidP="00DB75A3">
      <w:pPr>
        <w:jc w:val="both"/>
        <w:rPr>
          <w:b/>
          <w:sz w:val="24"/>
          <w:szCs w:val="24"/>
        </w:rPr>
      </w:pPr>
      <w:r>
        <w:rPr>
          <w:b/>
          <w:sz w:val="24"/>
          <w:szCs w:val="24"/>
        </w:rPr>
        <w:t>10</w:t>
      </w:r>
      <w:r w:rsidR="00DB75A3" w:rsidRPr="00DB75A3">
        <w:rPr>
          <w:b/>
          <w:sz w:val="24"/>
          <w:szCs w:val="24"/>
        </w:rPr>
        <w:t xml:space="preserve">.Η σημαντική αυτή αύξηση δεν θα οδηγήσει σε άνοδο της ανεργίας; </w:t>
      </w:r>
    </w:p>
    <w:p w:rsidR="00A34CB6" w:rsidRPr="00DB75A3" w:rsidRDefault="00A34CB6" w:rsidP="00A34CB6">
      <w:pPr>
        <w:jc w:val="both"/>
        <w:rPr>
          <w:sz w:val="24"/>
          <w:szCs w:val="24"/>
        </w:rPr>
      </w:pPr>
      <w:r>
        <w:rPr>
          <w:sz w:val="24"/>
          <w:szCs w:val="24"/>
        </w:rPr>
        <w:t xml:space="preserve">Η </w:t>
      </w:r>
      <w:r w:rsidRPr="00DB75A3">
        <w:rPr>
          <w:sz w:val="24"/>
          <w:szCs w:val="24"/>
        </w:rPr>
        <w:t xml:space="preserve">αγορά εργασίας </w:t>
      </w:r>
      <w:r>
        <w:rPr>
          <w:sz w:val="24"/>
          <w:szCs w:val="24"/>
        </w:rPr>
        <w:t xml:space="preserve">από το καλοκαίρι του 2019 </w:t>
      </w:r>
      <w:r w:rsidRPr="00DB75A3">
        <w:rPr>
          <w:sz w:val="24"/>
          <w:szCs w:val="24"/>
        </w:rPr>
        <w:t xml:space="preserve">έχει μπει σε ένα σταθερό ενάρετο κύκλο στον οποίο έχουμε ταυτόχρονα μείωση της ανεργίας, αύξηση της συμμετοχής στην αγορά εργασίας και άνοδο των μισθών. Συνεπώς θα μπορέσει να απορροφήσει την αύξηση. </w:t>
      </w:r>
      <w:r>
        <w:rPr>
          <w:sz w:val="24"/>
          <w:szCs w:val="24"/>
        </w:rPr>
        <w:t xml:space="preserve">Και αυτό λόγω της γενικότερης </w:t>
      </w:r>
      <w:proofErr w:type="spellStart"/>
      <w:r>
        <w:rPr>
          <w:sz w:val="24"/>
          <w:szCs w:val="24"/>
        </w:rPr>
        <w:t>φιλοεπενδυτικής</w:t>
      </w:r>
      <w:proofErr w:type="spellEnd"/>
      <w:r>
        <w:rPr>
          <w:sz w:val="24"/>
          <w:szCs w:val="24"/>
        </w:rPr>
        <w:t xml:space="preserve"> πολιτικής της κυβέρνησης.</w:t>
      </w:r>
    </w:p>
    <w:p w:rsidR="00A34CB6" w:rsidRDefault="00DB75A3" w:rsidP="00DB75A3">
      <w:pPr>
        <w:jc w:val="both"/>
        <w:rPr>
          <w:sz w:val="24"/>
          <w:szCs w:val="24"/>
        </w:rPr>
      </w:pPr>
      <w:r w:rsidRPr="00DB75A3">
        <w:rPr>
          <w:sz w:val="24"/>
          <w:szCs w:val="24"/>
        </w:rPr>
        <w:t xml:space="preserve">Σύμφωνα με την ΕΛΣΤΑΤ, από το καλοκαίρι του 2019 η ανεργία έχει μειωθεί κατά 4,4 ποσοστιαίες μονάδες: από 17,2% σε 12,8% τον Φεβρουάριο του 2022, ποσοστό που είναι το </w:t>
      </w:r>
      <w:r w:rsidRPr="00DB75A3">
        <w:rPr>
          <w:b/>
          <w:sz w:val="24"/>
          <w:szCs w:val="24"/>
        </w:rPr>
        <w:t>χαμηλότερο από τον Ιούλιο του 2010</w:t>
      </w:r>
      <w:r w:rsidRPr="00DB75A3">
        <w:rPr>
          <w:sz w:val="24"/>
          <w:szCs w:val="24"/>
        </w:rPr>
        <w:t xml:space="preserve">. Παράλληλα κατά το τέταρτο τρίμηνο του 2021 το ποσοστό απασχόλησης ανήλθε σε 65% (το υψηλότερο από το τρίτο τρίμηνο του 2009) ενώ ο αριθμός των απασχολούμενων ξεπέρασε τον Ιούνιο του 2021 το ψυχολογικό φράγμα των 4 εκατ. για πρώτη φορά από τον Αύγουστο του 2011. Επιπλέον το ισοζύγιο των ροών μισθωτής απασχόλησης στον ιδιωτικό τομέα είναι θετικό καθώς το 2021 δημιουργήθηκαν 133.082 νέες θέσεις εργασίας, περισσότερες από ότι το 2020 (93 χιλ.) αλλά και το 2019  και (127,6 χιλ.). Και όλα αυτά παρά την κρίση της πανδημίας και παρά το γεγονός ότι ο μέσος μηνιαίος μισθός έχει αυξηθεί κατά 4,3% (από 1.072 σε 1.118 ευρώ) σε σχέση με το 2018. </w:t>
      </w:r>
    </w:p>
    <w:p w:rsidR="00730F7C" w:rsidRDefault="00730F7C" w:rsidP="00DB75A3">
      <w:pPr>
        <w:jc w:val="both"/>
        <w:rPr>
          <w:sz w:val="24"/>
          <w:szCs w:val="24"/>
        </w:rPr>
      </w:pPr>
      <w:r>
        <w:rPr>
          <w:sz w:val="24"/>
          <w:szCs w:val="24"/>
        </w:rPr>
        <w:t xml:space="preserve">Ωστόσο η κυβέρνηση μελετώντας όλες τις παραμέτρους (αύξηση του ΑΕΠ, παραγωγικότητα, πληθωρισμός κλπ.) θεώρησε σκόπιμο να καταλήξει στην αύξηση η </w:t>
      </w:r>
      <w:r>
        <w:rPr>
          <w:sz w:val="24"/>
          <w:szCs w:val="24"/>
        </w:rPr>
        <w:lastRenderedPageBreak/>
        <w:t xml:space="preserve">οποία ανακοινώθηκε, την οποία θεωρεί χρυσή τομή μεταξύ ανταγωνιστικότητας και κοινωνικής προστασίας. </w:t>
      </w:r>
    </w:p>
    <w:p w:rsidR="00DB75A3" w:rsidRPr="00DB75A3" w:rsidRDefault="00DB75A3" w:rsidP="00DB75A3">
      <w:pPr>
        <w:jc w:val="both"/>
        <w:rPr>
          <w:sz w:val="24"/>
          <w:szCs w:val="24"/>
        </w:rPr>
      </w:pPr>
    </w:p>
    <w:p w:rsidR="00DB75A3" w:rsidRPr="00DB75A3" w:rsidRDefault="00677F67" w:rsidP="00DB75A3">
      <w:pPr>
        <w:jc w:val="both"/>
        <w:rPr>
          <w:b/>
          <w:bCs/>
          <w:sz w:val="24"/>
          <w:szCs w:val="24"/>
        </w:rPr>
      </w:pPr>
      <w:r>
        <w:rPr>
          <w:b/>
          <w:sz w:val="24"/>
          <w:szCs w:val="24"/>
        </w:rPr>
        <w:t>11</w:t>
      </w:r>
      <w:r w:rsidR="00DB75A3" w:rsidRPr="00DB75A3">
        <w:rPr>
          <w:b/>
          <w:sz w:val="24"/>
          <w:szCs w:val="24"/>
        </w:rPr>
        <w:t>.</w:t>
      </w:r>
      <w:r w:rsidR="00DB75A3" w:rsidRPr="00DB75A3">
        <w:rPr>
          <w:b/>
          <w:bCs/>
          <w:sz w:val="24"/>
          <w:szCs w:val="24"/>
        </w:rPr>
        <w:t xml:space="preserve"> Υπάρχει κίνδυνος η αύξηση του κατώτατου μισθού να ενισχύσει περαιτέρω τις πληθωριστικές πιέσεις, εξανεμίζοντας τα όποια οφέλη;</w:t>
      </w:r>
    </w:p>
    <w:p w:rsidR="00DB75A3" w:rsidRDefault="00DB75A3" w:rsidP="00DB75A3">
      <w:pPr>
        <w:jc w:val="both"/>
        <w:rPr>
          <w:sz w:val="24"/>
          <w:szCs w:val="24"/>
        </w:rPr>
      </w:pPr>
      <w:r w:rsidRPr="00DB75A3">
        <w:rPr>
          <w:sz w:val="24"/>
          <w:szCs w:val="24"/>
        </w:rPr>
        <w:t xml:space="preserve">Η αποφυγή ενός πληθωριστικού σπιράλ αποτελεί </w:t>
      </w:r>
      <w:r w:rsidRPr="00DB75A3">
        <w:rPr>
          <w:b/>
          <w:sz w:val="24"/>
          <w:szCs w:val="24"/>
        </w:rPr>
        <w:t>βασικό μέλημα</w:t>
      </w:r>
      <w:r w:rsidRPr="00DB75A3">
        <w:rPr>
          <w:sz w:val="24"/>
          <w:szCs w:val="24"/>
        </w:rPr>
        <w:t xml:space="preserve"> της κυβέρνησης. Είναι και ένας βασικός λόγος που δεν υιοθετ</w:t>
      </w:r>
      <w:r w:rsidR="00D80A4D">
        <w:rPr>
          <w:sz w:val="24"/>
          <w:szCs w:val="24"/>
        </w:rPr>
        <w:t xml:space="preserve">ήθηκαν </w:t>
      </w:r>
      <w:r w:rsidRPr="00DB75A3">
        <w:rPr>
          <w:sz w:val="24"/>
          <w:szCs w:val="24"/>
        </w:rPr>
        <w:t>μαξιμαλιστικές προτάσεις οι οποίες ενώ φαίνεται να είναι υπέρ των εργαζομένων θα έφερναν τελικά το αντίστροφο αποτέλεσμα. Η αύξηση που αποφασίστηκε είναι ισορροπημένη και δεν αναμένεται να αποτελέσει γενεσιουργό αιτία πληθωρισμού</w:t>
      </w:r>
      <w:r w:rsidR="00230CFF">
        <w:rPr>
          <w:sz w:val="24"/>
          <w:szCs w:val="24"/>
        </w:rPr>
        <w:t>.</w:t>
      </w:r>
    </w:p>
    <w:p w:rsidR="007A0651" w:rsidRDefault="007A0651" w:rsidP="00DB75A3">
      <w:pPr>
        <w:jc w:val="both"/>
        <w:rPr>
          <w:b/>
          <w:sz w:val="24"/>
          <w:szCs w:val="24"/>
        </w:rPr>
      </w:pPr>
    </w:p>
    <w:p w:rsidR="00DB75A3" w:rsidRPr="00DB75A3" w:rsidRDefault="00DB75A3" w:rsidP="00DB75A3">
      <w:pPr>
        <w:jc w:val="both"/>
        <w:rPr>
          <w:b/>
          <w:sz w:val="24"/>
          <w:szCs w:val="24"/>
        </w:rPr>
      </w:pPr>
      <w:r w:rsidRPr="00DB75A3">
        <w:rPr>
          <w:b/>
          <w:sz w:val="24"/>
          <w:szCs w:val="24"/>
        </w:rPr>
        <w:t>1</w:t>
      </w:r>
      <w:r w:rsidR="00677F67">
        <w:rPr>
          <w:b/>
          <w:sz w:val="24"/>
          <w:szCs w:val="24"/>
        </w:rPr>
        <w:t>2</w:t>
      </w:r>
      <w:r w:rsidRPr="00DB75A3">
        <w:rPr>
          <w:b/>
          <w:sz w:val="24"/>
          <w:szCs w:val="24"/>
        </w:rPr>
        <w:t>.Γιατί δεν αφήνετε τους κοινωνικούς εταίρους να αποφασίσουν το ύψος του κατώτατου μισθού, όπως ζητούν η ΓΣΕΕ, η ΕΣΕΕ, η ΓΣΕΒΕΕ;</w:t>
      </w:r>
    </w:p>
    <w:p w:rsidR="00DB75A3" w:rsidRDefault="00DB75A3" w:rsidP="00DB75A3">
      <w:pPr>
        <w:jc w:val="both"/>
        <w:rPr>
          <w:sz w:val="24"/>
          <w:szCs w:val="24"/>
        </w:rPr>
      </w:pPr>
      <w:r w:rsidRPr="00DB75A3">
        <w:rPr>
          <w:sz w:val="24"/>
          <w:szCs w:val="24"/>
        </w:rPr>
        <w:t xml:space="preserve">Οι κοινωνικοί εταίροι </w:t>
      </w:r>
      <w:r w:rsidRPr="00DB75A3">
        <w:rPr>
          <w:b/>
          <w:sz w:val="24"/>
          <w:szCs w:val="24"/>
        </w:rPr>
        <w:t>διατηρούν την δυνατότητα</w:t>
      </w:r>
      <w:r w:rsidRPr="00DB75A3">
        <w:rPr>
          <w:sz w:val="24"/>
          <w:szCs w:val="24"/>
        </w:rPr>
        <w:t xml:space="preserve"> να συμφωνήσουν υψηλότερες αποδοχές με τις συλλογικές διαπραγματεύσεις. Δεν υπάρχει καμία απαγόρευση επ’ αυτού. Το σύστημα του διοικητικού καθορισμού του κατώτατου μισθού από την κυβέρνηση μετά από διαβούλευση με τους κοινωνικούς εταίρους εφαρμόζεται από τις περισσότερες χώρες – μέλη της ΕΕ και επιπλέον είναι το σύστημα που </w:t>
      </w:r>
      <w:r w:rsidRPr="00DB75A3">
        <w:rPr>
          <w:b/>
          <w:sz w:val="24"/>
          <w:szCs w:val="24"/>
        </w:rPr>
        <w:t>προτείνεται από την Ευρωπαϊκή Επιτροπή</w:t>
      </w:r>
      <w:r w:rsidR="00230CFF">
        <w:rPr>
          <w:b/>
          <w:sz w:val="24"/>
          <w:szCs w:val="24"/>
        </w:rPr>
        <w:t xml:space="preserve"> </w:t>
      </w:r>
      <w:r w:rsidR="00230CFF" w:rsidRPr="00230CFF">
        <w:rPr>
          <w:sz w:val="24"/>
          <w:szCs w:val="24"/>
        </w:rPr>
        <w:t>με το σχέδιο Οδηγίας για τους ευρωπαϊκούς κατώτατους μισθούς</w:t>
      </w:r>
      <w:r w:rsidRPr="00DB75A3">
        <w:rPr>
          <w:sz w:val="24"/>
          <w:szCs w:val="24"/>
        </w:rPr>
        <w:t>. Η διαδικασία αυτή αφενός εξασφαλίζει τη διαφάνεια καθώς οι απόψεις όλων των φορέων που συμμετέχουν στη διαβούλευση, δημοσιοποιούνται επισήμως από το υπουργείο Εργασίας και Κοινωνικών Υποθέσεων και αφετέρου λαμβάνει υπόψη τα συμφέροντα τόσο των εργαζόμενων όσο και των ανέργων.</w:t>
      </w:r>
    </w:p>
    <w:p w:rsidR="007A0651" w:rsidRPr="00BA0837" w:rsidRDefault="007A0651" w:rsidP="007A0651">
      <w:pPr>
        <w:pStyle w:val="IntenseQuote"/>
        <w:rPr>
          <w:b/>
          <w:bCs/>
          <w:i w:val="0"/>
          <w:iCs w:val="0"/>
          <w:sz w:val="24"/>
          <w:szCs w:val="24"/>
        </w:rPr>
      </w:pPr>
      <w:r w:rsidRPr="00BA0837">
        <w:rPr>
          <w:b/>
          <w:bCs/>
          <w:i w:val="0"/>
          <w:iCs w:val="0"/>
          <w:sz w:val="24"/>
          <w:szCs w:val="24"/>
        </w:rPr>
        <w:t>Κατώτατος μισθός 2022 – Πίνακες</w:t>
      </w:r>
      <w:r>
        <w:rPr>
          <w:b/>
          <w:bCs/>
          <w:i w:val="0"/>
          <w:iCs w:val="0"/>
          <w:sz w:val="24"/>
          <w:szCs w:val="24"/>
        </w:rPr>
        <w:t xml:space="preserve"> και Διαγράμματα </w:t>
      </w:r>
    </w:p>
    <w:p w:rsidR="007A0651" w:rsidRDefault="007A0651" w:rsidP="007A0651">
      <w:pPr>
        <w:rPr>
          <w:b/>
          <w:bCs/>
        </w:rPr>
      </w:pPr>
    </w:p>
    <w:p w:rsidR="007A0651" w:rsidRPr="00DA65D4" w:rsidRDefault="007A0651" w:rsidP="007A0651">
      <w:pPr>
        <w:spacing w:after="0" w:line="240" w:lineRule="auto"/>
        <w:rPr>
          <w:rFonts w:ascii="Century Gothic" w:hAnsi="Century Gothic"/>
          <w:b/>
          <w:bCs/>
        </w:rPr>
      </w:pPr>
      <w:r w:rsidRPr="00DA65D4">
        <w:rPr>
          <w:rFonts w:ascii="Century Gothic" w:hAnsi="Century Gothic"/>
          <w:b/>
          <w:bCs/>
        </w:rPr>
        <w:t xml:space="preserve">Μεταβολή κατώτατου μισθού/ημερομισθίου και επιδόματος ανεργίας </w:t>
      </w:r>
    </w:p>
    <w:p w:rsidR="007A0651" w:rsidRPr="00DA65D4" w:rsidRDefault="007A0651" w:rsidP="007A0651">
      <w:pPr>
        <w:spacing w:after="0" w:line="240" w:lineRule="auto"/>
        <w:rPr>
          <w:rFonts w:ascii="Century Gothic" w:hAnsi="Century Gothic"/>
          <w:b/>
          <w:bCs/>
        </w:rPr>
      </w:pPr>
      <w:r w:rsidRPr="00DA65D4">
        <w:rPr>
          <w:rFonts w:ascii="Century Gothic" w:hAnsi="Century Gothic"/>
          <w:b/>
          <w:bCs/>
        </w:rPr>
        <w:t>(σε ευρώ)</w:t>
      </w:r>
    </w:p>
    <w:tbl>
      <w:tblPr>
        <w:tblStyle w:val="GridTable4-Accent11"/>
        <w:tblW w:w="0" w:type="auto"/>
        <w:tblLook w:val="04A0" w:firstRow="1" w:lastRow="0" w:firstColumn="1" w:lastColumn="0" w:noHBand="0" w:noVBand="1"/>
      </w:tblPr>
      <w:tblGrid>
        <w:gridCol w:w="2760"/>
        <w:gridCol w:w="1550"/>
        <w:gridCol w:w="1567"/>
        <w:gridCol w:w="1114"/>
        <w:gridCol w:w="1531"/>
      </w:tblGrid>
      <w:tr w:rsidR="007A0651" w:rsidRPr="00391B2B" w:rsidTr="00676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7A0651" w:rsidRPr="00391B2B" w:rsidRDefault="007A0651" w:rsidP="0067675D">
            <w:pPr>
              <w:rPr>
                <w:rFonts w:ascii="Century Gothic" w:hAnsi="Century Gothic"/>
              </w:rPr>
            </w:pPr>
          </w:p>
        </w:tc>
        <w:tc>
          <w:tcPr>
            <w:tcW w:w="1417" w:type="dxa"/>
          </w:tcPr>
          <w:p w:rsidR="007A0651" w:rsidRPr="00391B2B" w:rsidRDefault="007A0651" w:rsidP="006767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rPr>
            </w:pPr>
            <w:r w:rsidRPr="00391B2B">
              <w:rPr>
                <w:rFonts w:ascii="Century Gothic" w:hAnsi="Century Gothic"/>
              </w:rPr>
              <w:t>Δ</w:t>
            </w:r>
            <w:r>
              <w:rPr>
                <w:rFonts w:ascii="Century Gothic" w:hAnsi="Century Gothic"/>
              </w:rPr>
              <w:t>ΕΚΕΜΒΡΙΟΣ</w:t>
            </w:r>
            <w:r w:rsidRPr="00391B2B">
              <w:rPr>
                <w:rFonts w:ascii="Century Gothic" w:hAnsi="Century Gothic"/>
              </w:rPr>
              <w:t xml:space="preserve"> 2021</w:t>
            </w:r>
          </w:p>
        </w:tc>
        <w:tc>
          <w:tcPr>
            <w:tcW w:w="1276" w:type="dxa"/>
          </w:tcPr>
          <w:p w:rsidR="007A0651" w:rsidRPr="00391B2B" w:rsidRDefault="007A0651" w:rsidP="006767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rPr>
            </w:pPr>
            <w:r>
              <w:rPr>
                <w:rFonts w:ascii="Century Gothic" w:hAnsi="Century Gothic"/>
              </w:rPr>
              <w:t>ΙΑΝΟΥΑΡΙΟΣ</w:t>
            </w:r>
            <w:r w:rsidRPr="00391B2B">
              <w:rPr>
                <w:rFonts w:ascii="Century Gothic" w:hAnsi="Century Gothic"/>
              </w:rPr>
              <w:t xml:space="preserve"> 2022</w:t>
            </w:r>
          </w:p>
        </w:tc>
        <w:tc>
          <w:tcPr>
            <w:tcW w:w="1134" w:type="dxa"/>
          </w:tcPr>
          <w:p w:rsidR="007A0651" w:rsidRPr="00391B2B" w:rsidRDefault="007A0651" w:rsidP="006767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6"/>
                <w:szCs w:val="26"/>
              </w:rPr>
            </w:pPr>
            <w:r>
              <w:rPr>
                <w:rFonts w:ascii="Century Gothic" w:hAnsi="Century Gothic"/>
                <w:sz w:val="26"/>
                <w:szCs w:val="26"/>
              </w:rPr>
              <w:t>ΜΑΪΟΣ</w:t>
            </w:r>
            <w:r w:rsidRPr="00391B2B">
              <w:rPr>
                <w:rFonts w:ascii="Century Gothic" w:hAnsi="Century Gothic"/>
                <w:sz w:val="26"/>
                <w:szCs w:val="26"/>
              </w:rPr>
              <w:t xml:space="preserve"> 2022</w:t>
            </w:r>
          </w:p>
        </w:tc>
        <w:tc>
          <w:tcPr>
            <w:tcW w:w="1213" w:type="dxa"/>
          </w:tcPr>
          <w:p w:rsidR="007A0651" w:rsidRPr="00391B2B" w:rsidRDefault="007A0651" w:rsidP="006767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6"/>
                <w:szCs w:val="26"/>
              </w:rPr>
            </w:pPr>
            <w:r>
              <w:rPr>
                <w:rFonts w:ascii="Century Gothic" w:hAnsi="Century Gothic"/>
                <w:sz w:val="26"/>
                <w:szCs w:val="26"/>
              </w:rPr>
              <w:t>ΣΩΡΕΥΤΙΚΗ ΑΥΞΗΣΗ</w:t>
            </w:r>
          </w:p>
        </w:tc>
      </w:tr>
      <w:tr w:rsidR="007A0651" w:rsidRPr="00391B2B" w:rsidTr="006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7A0651" w:rsidRPr="00391B2B" w:rsidRDefault="007A0651" w:rsidP="0067675D">
            <w:pPr>
              <w:rPr>
                <w:rFonts w:ascii="Century Gothic" w:hAnsi="Century Gothic"/>
              </w:rPr>
            </w:pPr>
            <w:r w:rsidRPr="00391B2B">
              <w:rPr>
                <w:rFonts w:ascii="Century Gothic" w:hAnsi="Century Gothic"/>
              </w:rPr>
              <w:t xml:space="preserve">Κατώτατος μισθός  </w:t>
            </w:r>
          </w:p>
        </w:tc>
        <w:tc>
          <w:tcPr>
            <w:tcW w:w="1417" w:type="dxa"/>
          </w:tcPr>
          <w:p w:rsidR="007A0651" w:rsidRPr="00391B2B"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91B2B">
              <w:rPr>
                <w:rFonts w:ascii="Century Gothic" w:hAnsi="Century Gothic"/>
              </w:rPr>
              <w:t>650</w:t>
            </w:r>
          </w:p>
        </w:tc>
        <w:tc>
          <w:tcPr>
            <w:tcW w:w="1276" w:type="dxa"/>
          </w:tcPr>
          <w:p w:rsidR="007A0651" w:rsidRPr="00391B2B"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91B2B">
              <w:rPr>
                <w:rFonts w:ascii="Century Gothic" w:hAnsi="Century Gothic"/>
              </w:rPr>
              <w:t>663</w:t>
            </w:r>
          </w:p>
        </w:tc>
        <w:tc>
          <w:tcPr>
            <w:tcW w:w="1134" w:type="dxa"/>
          </w:tcPr>
          <w:p w:rsidR="007A0651" w:rsidRPr="00DA65D4"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6"/>
                <w:szCs w:val="26"/>
                <w:u w:val="single"/>
              </w:rPr>
            </w:pPr>
            <w:r w:rsidRPr="00DA65D4">
              <w:rPr>
                <w:rFonts w:ascii="Century Gothic" w:hAnsi="Century Gothic"/>
                <w:b/>
                <w:bCs/>
                <w:sz w:val="26"/>
                <w:szCs w:val="26"/>
                <w:u w:val="single"/>
              </w:rPr>
              <w:t>713</w:t>
            </w:r>
          </w:p>
        </w:tc>
        <w:tc>
          <w:tcPr>
            <w:tcW w:w="1213" w:type="dxa"/>
          </w:tcPr>
          <w:p w:rsidR="007A0651" w:rsidRPr="00DA65D4"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6"/>
                <w:szCs w:val="26"/>
                <w:u w:val="single"/>
              </w:rPr>
            </w:pPr>
            <w:r w:rsidRPr="00DA65D4">
              <w:rPr>
                <w:rFonts w:ascii="Century Gothic" w:hAnsi="Century Gothic"/>
                <w:b/>
                <w:bCs/>
                <w:sz w:val="26"/>
                <w:szCs w:val="26"/>
                <w:u w:val="single"/>
              </w:rPr>
              <w:t>63</w:t>
            </w:r>
          </w:p>
        </w:tc>
      </w:tr>
      <w:tr w:rsidR="007A0651" w:rsidRPr="00391B2B" w:rsidTr="0067675D">
        <w:tc>
          <w:tcPr>
            <w:cnfStyle w:val="001000000000" w:firstRow="0" w:lastRow="0" w:firstColumn="1" w:lastColumn="0" w:oddVBand="0" w:evenVBand="0" w:oddHBand="0" w:evenHBand="0" w:firstRowFirstColumn="0" w:firstRowLastColumn="0" w:lastRowFirstColumn="0" w:lastRowLastColumn="0"/>
            <w:tcW w:w="3256" w:type="dxa"/>
          </w:tcPr>
          <w:p w:rsidR="007A0651" w:rsidRPr="00391B2B" w:rsidRDefault="007A0651" w:rsidP="0067675D">
            <w:pPr>
              <w:rPr>
                <w:rFonts w:ascii="Century Gothic" w:hAnsi="Century Gothic"/>
              </w:rPr>
            </w:pPr>
            <w:r w:rsidRPr="00391B2B">
              <w:rPr>
                <w:rFonts w:ascii="Century Gothic" w:hAnsi="Century Gothic"/>
              </w:rPr>
              <w:t xml:space="preserve">Κατώτατο ημερομίσθιο  </w:t>
            </w:r>
          </w:p>
        </w:tc>
        <w:tc>
          <w:tcPr>
            <w:tcW w:w="1417" w:type="dxa"/>
          </w:tcPr>
          <w:p w:rsidR="007A0651" w:rsidRPr="00391B2B" w:rsidRDefault="007A0651" w:rsidP="0067675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91B2B">
              <w:rPr>
                <w:rFonts w:ascii="Century Gothic" w:hAnsi="Century Gothic"/>
              </w:rPr>
              <w:t>29,04</w:t>
            </w:r>
          </w:p>
        </w:tc>
        <w:tc>
          <w:tcPr>
            <w:tcW w:w="1276" w:type="dxa"/>
          </w:tcPr>
          <w:p w:rsidR="007A0651" w:rsidRPr="00391B2B" w:rsidRDefault="007A0651" w:rsidP="0067675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91B2B">
              <w:rPr>
                <w:rFonts w:ascii="Century Gothic" w:hAnsi="Century Gothic"/>
              </w:rPr>
              <w:t>29,62</w:t>
            </w:r>
          </w:p>
        </w:tc>
        <w:tc>
          <w:tcPr>
            <w:tcW w:w="1134" w:type="dxa"/>
          </w:tcPr>
          <w:p w:rsidR="007A0651" w:rsidRPr="00391B2B" w:rsidRDefault="007A0651" w:rsidP="0067675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6"/>
                <w:szCs w:val="26"/>
              </w:rPr>
            </w:pPr>
            <w:r w:rsidRPr="00391B2B">
              <w:rPr>
                <w:rFonts w:ascii="Century Gothic" w:hAnsi="Century Gothic"/>
                <w:b/>
                <w:bCs/>
                <w:sz w:val="26"/>
                <w:szCs w:val="26"/>
              </w:rPr>
              <w:t>31,85</w:t>
            </w:r>
          </w:p>
        </w:tc>
        <w:tc>
          <w:tcPr>
            <w:tcW w:w="1213" w:type="dxa"/>
          </w:tcPr>
          <w:p w:rsidR="007A0651" w:rsidRPr="00391B2B" w:rsidRDefault="007A0651" w:rsidP="0067675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6"/>
                <w:szCs w:val="26"/>
              </w:rPr>
            </w:pPr>
            <w:r w:rsidRPr="00391B2B">
              <w:rPr>
                <w:rFonts w:ascii="Century Gothic" w:hAnsi="Century Gothic"/>
                <w:b/>
                <w:bCs/>
                <w:sz w:val="26"/>
                <w:szCs w:val="26"/>
              </w:rPr>
              <w:t>2,81</w:t>
            </w:r>
          </w:p>
        </w:tc>
      </w:tr>
      <w:tr w:rsidR="007A0651" w:rsidRPr="00391B2B" w:rsidTr="006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7A0651" w:rsidRPr="00391B2B" w:rsidRDefault="007A0651" w:rsidP="0067675D">
            <w:pPr>
              <w:rPr>
                <w:rFonts w:ascii="Century Gothic" w:hAnsi="Century Gothic"/>
              </w:rPr>
            </w:pPr>
            <w:r w:rsidRPr="00391B2B">
              <w:rPr>
                <w:rFonts w:ascii="Century Gothic" w:hAnsi="Century Gothic"/>
              </w:rPr>
              <w:t>Μισθός σε 12μηνη βάση</w:t>
            </w:r>
          </w:p>
        </w:tc>
        <w:tc>
          <w:tcPr>
            <w:tcW w:w="1417" w:type="dxa"/>
          </w:tcPr>
          <w:p w:rsidR="007A0651" w:rsidRPr="00391B2B"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91B2B">
              <w:rPr>
                <w:rFonts w:ascii="Century Gothic" w:hAnsi="Century Gothic"/>
              </w:rPr>
              <w:t>758,3</w:t>
            </w:r>
          </w:p>
        </w:tc>
        <w:tc>
          <w:tcPr>
            <w:tcW w:w="1276" w:type="dxa"/>
          </w:tcPr>
          <w:p w:rsidR="007A0651" w:rsidRPr="00391B2B"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91B2B">
              <w:rPr>
                <w:rFonts w:ascii="Century Gothic" w:hAnsi="Century Gothic"/>
              </w:rPr>
              <w:t>773,5</w:t>
            </w:r>
          </w:p>
        </w:tc>
        <w:tc>
          <w:tcPr>
            <w:tcW w:w="1134" w:type="dxa"/>
          </w:tcPr>
          <w:p w:rsidR="007A0651" w:rsidRPr="00391B2B"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6"/>
                <w:szCs w:val="26"/>
              </w:rPr>
            </w:pPr>
            <w:r w:rsidRPr="00391B2B">
              <w:rPr>
                <w:rFonts w:ascii="Century Gothic" w:hAnsi="Century Gothic"/>
                <w:b/>
                <w:bCs/>
                <w:sz w:val="26"/>
                <w:szCs w:val="26"/>
              </w:rPr>
              <w:t>831,8</w:t>
            </w:r>
          </w:p>
        </w:tc>
        <w:tc>
          <w:tcPr>
            <w:tcW w:w="1213" w:type="dxa"/>
          </w:tcPr>
          <w:p w:rsidR="007A0651" w:rsidRPr="00391B2B"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6"/>
                <w:szCs w:val="26"/>
              </w:rPr>
            </w:pPr>
            <w:r w:rsidRPr="00391B2B">
              <w:rPr>
                <w:rFonts w:ascii="Century Gothic" w:hAnsi="Century Gothic"/>
                <w:b/>
                <w:bCs/>
                <w:sz w:val="26"/>
                <w:szCs w:val="26"/>
              </w:rPr>
              <w:t>73,5</w:t>
            </w:r>
          </w:p>
        </w:tc>
      </w:tr>
      <w:tr w:rsidR="007A0651" w:rsidRPr="00391B2B" w:rsidTr="0067675D">
        <w:tc>
          <w:tcPr>
            <w:cnfStyle w:val="001000000000" w:firstRow="0" w:lastRow="0" w:firstColumn="1" w:lastColumn="0" w:oddVBand="0" w:evenVBand="0" w:oddHBand="0" w:evenHBand="0" w:firstRowFirstColumn="0" w:firstRowLastColumn="0" w:lastRowFirstColumn="0" w:lastRowLastColumn="0"/>
            <w:tcW w:w="3256" w:type="dxa"/>
          </w:tcPr>
          <w:p w:rsidR="007A0651" w:rsidRPr="00391B2B" w:rsidRDefault="007A0651" w:rsidP="0067675D">
            <w:pPr>
              <w:rPr>
                <w:rFonts w:ascii="Century Gothic" w:hAnsi="Century Gothic"/>
              </w:rPr>
            </w:pPr>
            <w:r w:rsidRPr="00391B2B">
              <w:rPr>
                <w:rFonts w:ascii="Century Gothic" w:hAnsi="Century Gothic"/>
              </w:rPr>
              <w:t xml:space="preserve">Επίδομα ανεργίας </w:t>
            </w:r>
          </w:p>
        </w:tc>
        <w:tc>
          <w:tcPr>
            <w:tcW w:w="1417" w:type="dxa"/>
          </w:tcPr>
          <w:p w:rsidR="007A0651" w:rsidRPr="00391B2B" w:rsidRDefault="007A0651" w:rsidP="0067675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91B2B">
              <w:rPr>
                <w:rFonts w:ascii="Century Gothic" w:hAnsi="Century Gothic"/>
              </w:rPr>
              <w:t>399</w:t>
            </w:r>
          </w:p>
        </w:tc>
        <w:tc>
          <w:tcPr>
            <w:tcW w:w="1276" w:type="dxa"/>
          </w:tcPr>
          <w:p w:rsidR="007A0651" w:rsidRPr="00391B2B" w:rsidRDefault="007A0651" w:rsidP="0067675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91B2B">
              <w:rPr>
                <w:rFonts w:ascii="Century Gothic" w:hAnsi="Century Gothic"/>
              </w:rPr>
              <w:t>407</w:t>
            </w:r>
          </w:p>
        </w:tc>
        <w:tc>
          <w:tcPr>
            <w:tcW w:w="1134" w:type="dxa"/>
          </w:tcPr>
          <w:p w:rsidR="007A0651" w:rsidRPr="00391B2B" w:rsidRDefault="007A0651" w:rsidP="0067675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6"/>
                <w:szCs w:val="26"/>
              </w:rPr>
            </w:pPr>
            <w:r w:rsidRPr="00391B2B">
              <w:rPr>
                <w:rFonts w:ascii="Century Gothic" w:hAnsi="Century Gothic"/>
                <w:b/>
                <w:bCs/>
                <w:sz w:val="26"/>
                <w:szCs w:val="26"/>
              </w:rPr>
              <w:t>438</w:t>
            </w:r>
          </w:p>
        </w:tc>
        <w:tc>
          <w:tcPr>
            <w:tcW w:w="1213" w:type="dxa"/>
          </w:tcPr>
          <w:p w:rsidR="007A0651" w:rsidRPr="00391B2B" w:rsidRDefault="007A0651" w:rsidP="0067675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6"/>
                <w:szCs w:val="26"/>
              </w:rPr>
            </w:pPr>
            <w:r w:rsidRPr="00391B2B">
              <w:rPr>
                <w:rFonts w:ascii="Century Gothic" w:hAnsi="Century Gothic"/>
                <w:b/>
                <w:bCs/>
                <w:sz w:val="26"/>
                <w:szCs w:val="26"/>
              </w:rPr>
              <w:t>39</w:t>
            </w:r>
          </w:p>
        </w:tc>
      </w:tr>
    </w:tbl>
    <w:p w:rsidR="007A0651" w:rsidRDefault="007A0651" w:rsidP="007A0651">
      <w:pPr>
        <w:rPr>
          <w:rFonts w:ascii="Century Gothic" w:hAnsi="Century Gothic"/>
          <w:b/>
          <w:bCs/>
        </w:rPr>
      </w:pPr>
    </w:p>
    <w:p w:rsidR="007A0651" w:rsidRDefault="007A0651" w:rsidP="007A0651">
      <w:pPr>
        <w:rPr>
          <w:rFonts w:ascii="Century Gothic" w:hAnsi="Century Gothic"/>
          <w:b/>
          <w:bCs/>
        </w:rPr>
      </w:pPr>
    </w:p>
    <w:p w:rsidR="007A0651" w:rsidRDefault="007A0651" w:rsidP="007A0651">
      <w:pPr>
        <w:rPr>
          <w:rFonts w:ascii="Century Gothic" w:hAnsi="Century Gothic"/>
          <w:b/>
          <w:bCs/>
        </w:rPr>
      </w:pPr>
    </w:p>
    <w:p w:rsidR="007A0651" w:rsidRDefault="007A0651" w:rsidP="007A0651">
      <w:pPr>
        <w:rPr>
          <w:rFonts w:ascii="Century Gothic" w:hAnsi="Century Gothic"/>
          <w:b/>
          <w:bCs/>
        </w:rPr>
      </w:pPr>
    </w:p>
    <w:p w:rsidR="007A0651" w:rsidRPr="008B4488" w:rsidRDefault="007A0651" w:rsidP="007A0651">
      <w:pPr>
        <w:rPr>
          <w:rFonts w:ascii="Century Gothic" w:hAnsi="Century Gothic"/>
          <w:b/>
          <w:bCs/>
        </w:rPr>
      </w:pPr>
      <w:r>
        <w:rPr>
          <w:rFonts w:ascii="Century Gothic" w:hAnsi="Century Gothic"/>
          <w:b/>
          <w:bCs/>
        </w:rPr>
        <w:t>Μεικτός</w:t>
      </w:r>
      <w:r w:rsidRPr="008B4488">
        <w:rPr>
          <w:rFonts w:ascii="Century Gothic" w:hAnsi="Century Gothic"/>
          <w:b/>
          <w:bCs/>
        </w:rPr>
        <w:t xml:space="preserve"> κατώτατος μισθός: Σύγκριση ΣΥΡΙΖΑ και ΝΔ</w:t>
      </w:r>
    </w:p>
    <w:tbl>
      <w:tblPr>
        <w:tblStyle w:val="GridTable4-Accent11"/>
        <w:tblW w:w="0" w:type="auto"/>
        <w:tblLook w:val="04A0" w:firstRow="1" w:lastRow="0" w:firstColumn="1" w:lastColumn="0" w:noHBand="0" w:noVBand="1"/>
      </w:tblPr>
      <w:tblGrid>
        <w:gridCol w:w="1500"/>
        <w:gridCol w:w="1761"/>
        <w:gridCol w:w="1625"/>
        <w:gridCol w:w="1773"/>
      </w:tblGrid>
      <w:tr w:rsidR="007A0651" w:rsidRPr="00391B2B" w:rsidTr="00676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9" w:type="dxa"/>
            <w:gridSpan w:val="4"/>
            <w:shd w:val="clear" w:color="auto" w:fill="ACB9CA" w:themeFill="text2" w:themeFillTint="66"/>
            <w:vAlign w:val="center"/>
          </w:tcPr>
          <w:p w:rsidR="007A0651" w:rsidRPr="008B4488" w:rsidRDefault="007A0651" w:rsidP="0067675D">
            <w:pPr>
              <w:jc w:val="center"/>
              <w:rPr>
                <w:rFonts w:ascii="Century Gothic" w:hAnsi="Century Gothic"/>
                <w:i/>
                <w:iCs/>
                <w:color w:val="000000" w:themeColor="text1"/>
                <w:sz w:val="28"/>
                <w:szCs w:val="28"/>
              </w:rPr>
            </w:pPr>
            <w:r>
              <w:rPr>
                <w:rFonts w:ascii="Century Gothic" w:hAnsi="Century Gothic"/>
                <w:i/>
                <w:iCs/>
                <w:color w:val="000000" w:themeColor="text1"/>
                <w:sz w:val="28"/>
                <w:szCs w:val="28"/>
              </w:rPr>
              <w:t>Μεικτός κ</w:t>
            </w:r>
            <w:r w:rsidRPr="008B4488">
              <w:rPr>
                <w:rFonts w:ascii="Century Gothic" w:hAnsi="Century Gothic"/>
                <w:i/>
                <w:iCs/>
                <w:color w:val="000000" w:themeColor="text1"/>
                <w:sz w:val="28"/>
                <w:szCs w:val="28"/>
              </w:rPr>
              <w:t>ατώτατος μισθός</w:t>
            </w:r>
          </w:p>
        </w:tc>
      </w:tr>
      <w:tr w:rsidR="007A0651" w:rsidRPr="00391B2B" w:rsidTr="006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shd w:val="clear" w:color="auto" w:fill="FF0000"/>
            <w:vAlign w:val="center"/>
          </w:tcPr>
          <w:p w:rsidR="007A0651" w:rsidRPr="009A6A74" w:rsidRDefault="007A0651" w:rsidP="0067675D">
            <w:pPr>
              <w:jc w:val="center"/>
              <w:rPr>
                <w:rFonts w:ascii="Century Gothic" w:hAnsi="Century Gothic"/>
                <w:color w:val="FFFFFF" w:themeColor="background1"/>
                <w:sz w:val="24"/>
                <w:szCs w:val="24"/>
              </w:rPr>
            </w:pPr>
            <w:r w:rsidRPr="009A6A74">
              <w:rPr>
                <w:rFonts w:ascii="Century Gothic" w:hAnsi="Century Gothic"/>
                <w:color w:val="FFFFFF" w:themeColor="background1"/>
                <w:sz w:val="24"/>
                <w:szCs w:val="24"/>
              </w:rPr>
              <w:t>Επί ΣΥΡΙΖΑ</w:t>
            </w:r>
          </w:p>
        </w:tc>
        <w:tc>
          <w:tcPr>
            <w:tcW w:w="1761" w:type="dxa"/>
            <w:shd w:val="clear" w:color="auto" w:fill="2F5496" w:themeFill="accent1" w:themeFillShade="BF"/>
            <w:vAlign w:val="center"/>
          </w:tcPr>
          <w:p w:rsidR="007A0651" w:rsidRPr="00DA65D4"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4"/>
                <w:szCs w:val="24"/>
              </w:rPr>
            </w:pPr>
            <w:r w:rsidRPr="009A6A74">
              <w:rPr>
                <w:rFonts w:ascii="Century Gothic" w:hAnsi="Century Gothic"/>
                <w:b/>
                <w:bCs/>
                <w:color w:val="FFFFFF" w:themeColor="background1"/>
                <w:sz w:val="24"/>
                <w:szCs w:val="24"/>
              </w:rPr>
              <w:t>Από 1/5/2022</w:t>
            </w:r>
          </w:p>
        </w:tc>
        <w:tc>
          <w:tcPr>
            <w:tcW w:w="1625" w:type="dxa"/>
            <w:shd w:val="clear" w:color="auto" w:fill="B4C6E7" w:themeFill="accent1" w:themeFillTint="66"/>
            <w:vAlign w:val="center"/>
          </w:tcPr>
          <w:p w:rsidR="007A0651" w:rsidRPr="00391B2B"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9A6A74">
              <w:rPr>
                <w:rFonts w:ascii="Century Gothic" w:hAnsi="Century Gothic"/>
                <w:b/>
                <w:bCs/>
                <w:color w:val="1F3864" w:themeColor="accent1" w:themeShade="80"/>
                <w:sz w:val="24"/>
                <w:szCs w:val="24"/>
              </w:rPr>
              <w:t>% αύξηση</w:t>
            </w:r>
          </w:p>
        </w:tc>
        <w:tc>
          <w:tcPr>
            <w:tcW w:w="1773" w:type="dxa"/>
            <w:shd w:val="clear" w:color="auto" w:fill="1F3864" w:themeFill="accent1" w:themeFillShade="80"/>
          </w:tcPr>
          <w:p w:rsidR="007A0651" w:rsidRPr="009A6A74"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FFFFFF" w:themeColor="background1"/>
                <w:sz w:val="24"/>
                <w:szCs w:val="24"/>
              </w:rPr>
            </w:pPr>
            <w:r w:rsidRPr="009A6A74">
              <w:rPr>
                <w:rFonts w:ascii="Century Gothic" w:hAnsi="Century Gothic"/>
                <w:b/>
                <w:bCs/>
                <w:color w:val="FFFFFF" w:themeColor="background1"/>
                <w:sz w:val="24"/>
                <w:szCs w:val="24"/>
              </w:rPr>
              <w:t xml:space="preserve">Ετήσιο όφελος </w:t>
            </w:r>
          </w:p>
          <w:p w:rsidR="007A0651" w:rsidRPr="00391B2B"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9A6A74">
              <w:rPr>
                <w:rFonts w:ascii="Century Gothic" w:hAnsi="Century Gothic"/>
                <w:b/>
                <w:bCs/>
                <w:color w:val="FFFFFF" w:themeColor="background1"/>
                <w:sz w:val="24"/>
                <w:szCs w:val="24"/>
              </w:rPr>
              <w:t>(σε ευρώ)</w:t>
            </w:r>
          </w:p>
        </w:tc>
      </w:tr>
      <w:tr w:rsidR="007A0651" w:rsidRPr="00391B2B" w:rsidTr="0067675D">
        <w:tc>
          <w:tcPr>
            <w:cnfStyle w:val="001000000000" w:firstRow="0" w:lastRow="0" w:firstColumn="1" w:lastColumn="0" w:oddVBand="0" w:evenVBand="0" w:oddHBand="0" w:evenHBand="0" w:firstRowFirstColumn="0" w:firstRowLastColumn="0" w:lastRowFirstColumn="0" w:lastRowLastColumn="0"/>
            <w:tcW w:w="1500" w:type="dxa"/>
            <w:vAlign w:val="center"/>
          </w:tcPr>
          <w:p w:rsidR="007A0651" w:rsidRPr="00391B2B" w:rsidRDefault="007A0651" w:rsidP="0067675D">
            <w:pPr>
              <w:jc w:val="center"/>
              <w:rPr>
                <w:rFonts w:ascii="Century Gothic" w:hAnsi="Century Gothic"/>
                <w:b w:val="0"/>
                <w:bCs w:val="0"/>
                <w:sz w:val="24"/>
                <w:szCs w:val="24"/>
              </w:rPr>
            </w:pPr>
            <w:r w:rsidRPr="00391B2B">
              <w:rPr>
                <w:rFonts w:ascii="Century Gothic" w:hAnsi="Century Gothic"/>
                <w:b w:val="0"/>
                <w:bCs w:val="0"/>
                <w:sz w:val="24"/>
                <w:szCs w:val="24"/>
              </w:rPr>
              <w:t>650</w:t>
            </w:r>
          </w:p>
        </w:tc>
        <w:tc>
          <w:tcPr>
            <w:tcW w:w="1761" w:type="dxa"/>
            <w:vAlign w:val="center"/>
          </w:tcPr>
          <w:p w:rsidR="007A0651" w:rsidRPr="00391B2B" w:rsidRDefault="007A0651" w:rsidP="0067675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391B2B">
              <w:rPr>
                <w:rFonts w:ascii="Century Gothic" w:hAnsi="Century Gothic"/>
                <w:sz w:val="24"/>
                <w:szCs w:val="24"/>
              </w:rPr>
              <w:t>713</w:t>
            </w:r>
          </w:p>
        </w:tc>
        <w:tc>
          <w:tcPr>
            <w:tcW w:w="1625" w:type="dxa"/>
            <w:vAlign w:val="center"/>
          </w:tcPr>
          <w:p w:rsidR="007A0651" w:rsidRPr="009A6A74" w:rsidRDefault="007A0651" w:rsidP="0067675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1F3864" w:themeColor="accent1" w:themeShade="80"/>
                <w:sz w:val="28"/>
                <w:szCs w:val="28"/>
                <w:u w:val="single"/>
              </w:rPr>
            </w:pPr>
            <w:r w:rsidRPr="009A6A74">
              <w:rPr>
                <w:rFonts w:ascii="Century Gothic" w:hAnsi="Century Gothic"/>
                <w:b/>
                <w:bCs/>
                <w:color w:val="1F3864" w:themeColor="accent1" w:themeShade="80"/>
                <w:sz w:val="32"/>
                <w:szCs w:val="32"/>
                <w:u w:val="single"/>
              </w:rPr>
              <w:t>9,7%</w:t>
            </w:r>
          </w:p>
        </w:tc>
        <w:tc>
          <w:tcPr>
            <w:tcW w:w="1773" w:type="dxa"/>
            <w:vAlign w:val="center"/>
          </w:tcPr>
          <w:p w:rsidR="007A0651" w:rsidRPr="009A6A74" w:rsidRDefault="007A0651" w:rsidP="0067675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1F3864" w:themeColor="accent1" w:themeShade="80"/>
                <w:sz w:val="28"/>
                <w:szCs w:val="28"/>
                <w:u w:val="single"/>
              </w:rPr>
            </w:pPr>
            <w:r w:rsidRPr="009A6A74">
              <w:rPr>
                <w:rFonts w:ascii="Century Gothic" w:hAnsi="Century Gothic"/>
                <w:b/>
                <w:bCs/>
                <w:color w:val="1F3864" w:themeColor="accent1" w:themeShade="80"/>
                <w:sz w:val="36"/>
                <w:szCs w:val="36"/>
                <w:u w:val="single"/>
              </w:rPr>
              <w:t>882</w:t>
            </w:r>
          </w:p>
        </w:tc>
      </w:tr>
    </w:tbl>
    <w:p w:rsidR="007A0651" w:rsidRDefault="007A0651" w:rsidP="007A0651">
      <w:pPr>
        <w:rPr>
          <w:rFonts w:ascii="Century Gothic" w:hAnsi="Century Gothic"/>
          <w:b/>
          <w:bCs/>
          <w:color w:val="FFFFFF" w:themeColor="background1"/>
          <w:sz w:val="24"/>
          <w:szCs w:val="24"/>
        </w:rPr>
      </w:pPr>
    </w:p>
    <w:p w:rsidR="007A0651" w:rsidRDefault="007A0651" w:rsidP="007A0651">
      <w:pPr>
        <w:rPr>
          <w:b/>
          <w:bCs/>
        </w:rPr>
      </w:pPr>
      <w:r>
        <w:rPr>
          <w:b/>
          <w:bCs/>
          <w:noProof/>
          <w:lang w:eastAsia="el-GR"/>
        </w:rPr>
        <w:drawing>
          <wp:inline distT="0" distB="0" distL="0" distR="0">
            <wp:extent cx="5274310" cy="33305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330575"/>
                    </a:xfrm>
                    <a:prstGeom prst="rect">
                      <a:avLst/>
                    </a:prstGeom>
                  </pic:spPr>
                </pic:pic>
              </a:graphicData>
            </a:graphic>
          </wp:inline>
        </w:drawing>
      </w:r>
    </w:p>
    <w:p w:rsidR="007A0651" w:rsidRDefault="007A0651" w:rsidP="007A0651">
      <w:pPr>
        <w:rPr>
          <w:rFonts w:ascii="Century Gothic" w:hAnsi="Century Gothic"/>
          <w:b/>
          <w:bCs/>
        </w:rPr>
      </w:pPr>
    </w:p>
    <w:p w:rsidR="007A0651" w:rsidRPr="00DA65D4" w:rsidRDefault="007A0651" w:rsidP="007A0651">
      <w:pPr>
        <w:rPr>
          <w:rFonts w:ascii="Century Gothic" w:hAnsi="Century Gothic"/>
          <w:b/>
          <w:bCs/>
        </w:rPr>
      </w:pPr>
      <w:r w:rsidRPr="00DA65D4">
        <w:rPr>
          <w:rFonts w:ascii="Century Gothic" w:hAnsi="Century Gothic"/>
          <w:b/>
          <w:bCs/>
        </w:rPr>
        <w:t xml:space="preserve">Προσαύξηση κατώτατου μισθού και ημερομισθίου λόγω προϋπηρεσίας (τριετίες)*  </w:t>
      </w:r>
    </w:p>
    <w:tbl>
      <w:tblPr>
        <w:tblStyle w:val="GridTable4-Accent11"/>
        <w:tblW w:w="7225" w:type="dxa"/>
        <w:tblLook w:val="04A0" w:firstRow="1" w:lastRow="0" w:firstColumn="1" w:lastColumn="0" w:noHBand="0" w:noVBand="1"/>
      </w:tblPr>
      <w:tblGrid>
        <w:gridCol w:w="1980"/>
        <w:gridCol w:w="1701"/>
        <w:gridCol w:w="1984"/>
        <w:gridCol w:w="1560"/>
      </w:tblGrid>
      <w:tr w:rsidR="007A0651" w:rsidRPr="005B71FA" w:rsidTr="0067675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noWrap/>
          </w:tcPr>
          <w:p w:rsidR="007A0651" w:rsidRPr="00391B2B" w:rsidRDefault="007A0651" w:rsidP="0067675D">
            <w:pPr>
              <w:jc w:val="center"/>
              <w:rPr>
                <w:rFonts w:ascii="Century Gothic" w:eastAsia="Times New Roman" w:hAnsi="Century Gothic" w:cs="Calibri"/>
                <w:b w:val="0"/>
                <w:bCs w:val="0"/>
                <w:lang w:eastAsia="el-GR"/>
              </w:rPr>
            </w:pPr>
            <w:r w:rsidRPr="00391B2B">
              <w:rPr>
                <w:rFonts w:ascii="Century Gothic" w:eastAsia="Times New Roman" w:hAnsi="Century Gothic" w:cs="Calibri"/>
                <w:lang w:eastAsia="el-GR"/>
              </w:rPr>
              <w:t>Έτη προϋπηρεσίας</w:t>
            </w:r>
          </w:p>
        </w:tc>
        <w:tc>
          <w:tcPr>
            <w:tcW w:w="1701" w:type="dxa"/>
            <w:noWrap/>
          </w:tcPr>
          <w:p w:rsidR="007A0651" w:rsidRPr="00391B2B" w:rsidRDefault="007A0651" w:rsidP="0067675D">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 w:val="0"/>
                <w:bCs w:val="0"/>
                <w:lang w:eastAsia="el-GR"/>
              </w:rPr>
            </w:pPr>
            <w:r w:rsidRPr="00391B2B">
              <w:rPr>
                <w:rFonts w:ascii="Century Gothic" w:eastAsia="Times New Roman" w:hAnsi="Century Gothic" w:cs="Calibri"/>
                <w:lang w:eastAsia="el-GR"/>
              </w:rPr>
              <w:t>Προσαύξηση</w:t>
            </w:r>
          </w:p>
          <w:p w:rsidR="007A0651" w:rsidRPr="00391B2B" w:rsidRDefault="007A0651" w:rsidP="0067675D">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 w:val="0"/>
                <w:bCs w:val="0"/>
                <w:lang w:eastAsia="el-GR"/>
              </w:rPr>
            </w:pPr>
            <w:r w:rsidRPr="00391B2B">
              <w:rPr>
                <w:rFonts w:ascii="Century Gothic" w:eastAsia="Times New Roman" w:hAnsi="Century Gothic" w:cs="Calibri"/>
                <w:lang w:eastAsia="el-GR"/>
              </w:rPr>
              <w:t>(%)</w:t>
            </w:r>
          </w:p>
        </w:tc>
        <w:tc>
          <w:tcPr>
            <w:tcW w:w="1984" w:type="dxa"/>
            <w:noWrap/>
          </w:tcPr>
          <w:p w:rsidR="007A0651" w:rsidRPr="00391B2B" w:rsidRDefault="007A0651" w:rsidP="0067675D">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 w:val="0"/>
                <w:bCs w:val="0"/>
                <w:lang w:eastAsia="el-GR"/>
              </w:rPr>
            </w:pPr>
            <w:r w:rsidRPr="00391B2B">
              <w:rPr>
                <w:rFonts w:ascii="Century Gothic" w:eastAsia="Times New Roman" w:hAnsi="Century Gothic" w:cs="Calibri"/>
                <w:lang w:eastAsia="el-GR"/>
              </w:rPr>
              <w:t>Ύψος μηνιαίων αποδοχών</w:t>
            </w:r>
          </w:p>
        </w:tc>
        <w:tc>
          <w:tcPr>
            <w:tcW w:w="1560" w:type="dxa"/>
          </w:tcPr>
          <w:p w:rsidR="007A0651" w:rsidRPr="00391B2B" w:rsidRDefault="007A0651" w:rsidP="0067675D">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 w:val="0"/>
                <w:bCs w:val="0"/>
                <w:lang w:eastAsia="el-GR"/>
              </w:rPr>
            </w:pPr>
            <w:r w:rsidRPr="00391B2B">
              <w:rPr>
                <w:rFonts w:ascii="Century Gothic" w:eastAsia="Times New Roman" w:hAnsi="Century Gothic" w:cs="Calibri"/>
                <w:lang w:eastAsia="el-GR"/>
              </w:rPr>
              <w:t>Πρόσθετες αποδοχές</w:t>
            </w:r>
          </w:p>
        </w:tc>
      </w:tr>
      <w:tr w:rsidR="007A0651" w:rsidRPr="005B71FA" w:rsidTr="006767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25" w:type="dxa"/>
            <w:gridSpan w:val="4"/>
            <w:noWrap/>
          </w:tcPr>
          <w:p w:rsidR="007A0651" w:rsidRPr="00391B2B" w:rsidRDefault="007A0651" w:rsidP="0067675D">
            <w:pPr>
              <w:jc w:val="center"/>
              <w:rPr>
                <w:rFonts w:ascii="Century Gothic" w:eastAsia="Times New Roman" w:hAnsi="Century Gothic" w:cs="Calibri"/>
                <w:b w:val="0"/>
                <w:bCs w:val="0"/>
                <w:color w:val="000000"/>
                <w:lang w:eastAsia="el-GR"/>
              </w:rPr>
            </w:pPr>
            <w:r w:rsidRPr="00391B2B">
              <w:rPr>
                <w:rFonts w:ascii="Century Gothic" w:eastAsia="Times New Roman" w:hAnsi="Century Gothic" w:cs="Calibri"/>
                <w:color w:val="000000"/>
                <w:lang w:eastAsia="el-GR"/>
              </w:rPr>
              <w:t>Υπάλληλοι</w:t>
            </w:r>
          </w:p>
        </w:tc>
      </w:tr>
      <w:tr w:rsidR="007A0651" w:rsidRPr="005B71FA" w:rsidTr="0067675D">
        <w:trPr>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rsidR="007A0651" w:rsidRPr="00391B2B" w:rsidRDefault="007A0651" w:rsidP="0067675D">
            <w:pPr>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0-3</w:t>
            </w:r>
          </w:p>
        </w:tc>
        <w:tc>
          <w:tcPr>
            <w:tcW w:w="1701" w:type="dxa"/>
            <w:noWrap/>
            <w:hideMark/>
          </w:tcPr>
          <w:p w:rsidR="007A0651" w:rsidRPr="00391B2B" w:rsidRDefault="007A0651" w:rsidP="0067675D">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0%</w:t>
            </w:r>
          </w:p>
        </w:tc>
        <w:tc>
          <w:tcPr>
            <w:tcW w:w="1984" w:type="dxa"/>
            <w:noWrap/>
            <w:hideMark/>
          </w:tcPr>
          <w:p w:rsidR="007A0651" w:rsidRPr="00391B2B" w:rsidRDefault="007A0651" w:rsidP="0067675D">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713</w:t>
            </w:r>
          </w:p>
        </w:tc>
        <w:tc>
          <w:tcPr>
            <w:tcW w:w="1560" w:type="dxa"/>
          </w:tcPr>
          <w:p w:rsidR="007A0651" w:rsidRPr="00391B2B" w:rsidRDefault="007A0651" w:rsidP="0067675D">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w:t>
            </w:r>
          </w:p>
        </w:tc>
      </w:tr>
      <w:tr w:rsidR="007A0651" w:rsidRPr="005B71FA" w:rsidTr="006767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rsidR="007A0651" w:rsidRPr="00391B2B" w:rsidRDefault="007A0651" w:rsidP="0067675D">
            <w:pPr>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3-6</w:t>
            </w:r>
          </w:p>
        </w:tc>
        <w:tc>
          <w:tcPr>
            <w:tcW w:w="1701" w:type="dxa"/>
            <w:noWrap/>
            <w:hideMark/>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10%</w:t>
            </w:r>
          </w:p>
        </w:tc>
        <w:tc>
          <w:tcPr>
            <w:tcW w:w="1984" w:type="dxa"/>
            <w:noWrap/>
            <w:hideMark/>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784,3</w:t>
            </w:r>
          </w:p>
        </w:tc>
        <w:tc>
          <w:tcPr>
            <w:tcW w:w="1560" w:type="dxa"/>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hAnsi="Century Gothic"/>
              </w:rPr>
              <w:t>71,3</w:t>
            </w:r>
          </w:p>
        </w:tc>
      </w:tr>
      <w:tr w:rsidR="007A0651" w:rsidRPr="005B71FA" w:rsidTr="0067675D">
        <w:trPr>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rsidR="007A0651" w:rsidRPr="00391B2B" w:rsidRDefault="007A0651" w:rsidP="0067675D">
            <w:pPr>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6-9</w:t>
            </w:r>
          </w:p>
        </w:tc>
        <w:tc>
          <w:tcPr>
            <w:tcW w:w="1701" w:type="dxa"/>
            <w:noWrap/>
            <w:hideMark/>
          </w:tcPr>
          <w:p w:rsidR="007A0651" w:rsidRPr="00391B2B" w:rsidRDefault="007A0651" w:rsidP="0067675D">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20%</w:t>
            </w:r>
          </w:p>
        </w:tc>
        <w:tc>
          <w:tcPr>
            <w:tcW w:w="1984" w:type="dxa"/>
            <w:noWrap/>
            <w:hideMark/>
          </w:tcPr>
          <w:p w:rsidR="007A0651" w:rsidRPr="00391B2B" w:rsidRDefault="007A0651" w:rsidP="0067675D">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855,6</w:t>
            </w:r>
          </w:p>
        </w:tc>
        <w:tc>
          <w:tcPr>
            <w:tcW w:w="1560" w:type="dxa"/>
          </w:tcPr>
          <w:p w:rsidR="007A0651" w:rsidRPr="00391B2B" w:rsidRDefault="007A0651" w:rsidP="0067675D">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hAnsi="Century Gothic"/>
              </w:rPr>
              <w:t>142,6</w:t>
            </w:r>
          </w:p>
        </w:tc>
      </w:tr>
      <w:tr w:rsidR="007A0651" w:rsidRPr="005B71FA" w:rsidTr="006767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rsidR="007A0651" w:rsidRPr="00391B2B" w:rsidRDefault="007A0651" w:rsidP="0067675D">
            <w:pPr>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&gt;9</w:t>
            </w:r>
          </w:p>
        </w:tc>
        <w:tc>
          <w:tcPr>
            <w:tcW w:w="1701" w:type="dxa"/>
            <w:noWrap/>
            <w:hideMark/>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30%</w:t>
            </w:r>
          </w:p>
        </w:tc>
        <w:tc>
          <w:tcPr>
            <w:tcW w:w="1984" w:type="dxa"/>
            <w:noWrap/>
            <w:hideMark/>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926,9</w:t>
            </w:r>
          </w:p>
        </w:tc>
        <w:tc>
          <w:tcPr>
            <w:tcW w:w="1560" w:type="dxa"/>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hAnsi="Century Gothic"/>
              </w:rPr>
              <w:t>213,9</w:t>
            </w:r>
          </w:p>
        </w:tc>
      </w:tr>
      <w:tr w:rsidR="007A0651" w:rsidRPr="005B71FA" w:rsidTr="0067675D">
        <w:trPr>
          <w:trHeight w:val="288"/>
        </w:trPr>
        <w:tc>
          <w:tcPr>
            <w:cnfStyle w:val="001000000000" w:firstRow="0" w:lastRow="0" w:firstColumn="1" w:lastColumn="0" w:oddVBand="0" w:evenVBand="0" w:oddHBand="0" w:evenHBand="0" w:firstRowFirstColumn="0" w:firstRowLastColumn="0" w:lastRowFirstColumn="0" w:lastRowLastColumn="0"/>
            <w:tcW w:w="7225" w:type="dxa"/>
            <w:gridSpan w:val="4"/>
            <w:noWrap/>
          </w:tcPr>
          <w:p w:rsidR="007A0651" w:rsidRPr="00391B2B" w:rsidRDefault="007A0651" w:rsidP="0067675D">
            <w:pPr>
              <w:jc w:val="center"/>
              <w:rPr>
                <w:rFonts w:ascii="Century Gothic" w:eastAsia="Times New Roman" w:hAnsi="Century Gothic" w:cs="Calibri"/>
                <w:b w:val="0"/>
                <w:bCs w:val="0"/>
                <w:color w:val="000000"/>
                <w:lang w:eastAsia="el-GR"/>
              </w:rPr>
            </w:pPr>
            <w:r w:rsidRPr="00391B2B">
              <w:rPr>
                <w:rFonts w:ascii="Century Gothic" w:eastAsia="Times New Roman" w:hAnsi="Century Gothic" w:cs="Calibri"/>
                <w:color w:val="000000"/>
                <w:lang w:eastAsia="el-GR"/>
              </w:rPr>
              <w:t>Εργατοτεχνίτες</w:t>
            </w:r>
          </w:p>
        </w:tc>
      </w:tr>
      <w:tr w:rsidR="007A0651" w:rsidRPr="005B71FA" w:rsidTr="006767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rsidR="007A0651" w:rsidRPr="00391B2B" w:rsidRDefault="007A0651" w:rsidP="0067675D">
            <w:pPr>
              <w:rPr>
                <w:rFonts w:ascii="Century Gothic" w:eastAsia="Times New Roman" w:hAnsi="Century Gothic" w:cs="Calibri"/>
                <w:color w:val="000000"/>
                <w:lang w:eastAsia="el-GR"/>
              </w:rPr>
            </w:pPr>
            <w:r w:rsidRPr="00391B2B">
              <w:rPr>
                <w:rFonts w:ascii="Century Gothic" w:eastAsia="Times New Roman" w:hAnsi="Century Gothic" w:cs="Calibri"/>
                <w:color w:val="000000"/>
                <w:lang w:val="en-GB" w:eastAsia="el-GR"/>
              </w:rPr>
              <w:t>0-3</w:t>
            </w:r>
          </w:p>
        </w:tc>
        <w:tc>
          <w:tcPr>
            <w:tcW w:w="1701" w:type="dxa"/>
            <w:noWrap/>
            <w:hideMark/>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0%</w:t>
            </w:r>
          </w:p>
        </w:tc>
        <w:tc>
          <w:tcPr>
            <w:tcW w:w="1984" w:type="dxa"/>
            <w:noWrap/>
            <w:hideMark/>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31,85</w:t>
            </w:r>
          </w:p>
        </w:tc>
        <w:tc>
          <w:tcPr>
            <w:tcW w:w="1560" w:type="dxa"/>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w:t>
            </w:r>
          </w:p>
        </w:tc>
      </w:tr>
      <w:tr w:rsidR="007A0651" w:rsidRPr="005B71FA" w:rsidTr="0067675D">
        <w:trPr>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rsidR="007A0651" w:rsidRPr="00391B2B" w:rsidRDefault="007A0651" w:rsidP="0067675D">
            <w:pPr>
              <w:rPr>
                <w:rFonts w:ascii="Century Gothic" w:eastAsia="Times New Roman" w:hAnsi="Century Gothic" w:cs="Calibri"/>
                <w:color w:val="000000"/>
                <w:lang w:eastAsia="el-GR"/>
              </w:rPr>
            </w:pPr>
            <w:r w:rsidRPr="00391B2B">
              <w:rPr>
                <w:rFonts w:ascii="Century Gothic" w:eastAsia="Times New Roman" w:hAnsi="Century Gothic" w:cs="Calibri"/>
                <w:color w:val="000000"/>
                <w:lang w:val="en-GB" w:eastAsia="el-GR"/>
              </w:rPr>
              <w:t>3-6</w:t>
            </w:r>
          </w:p>
        </w:tc>
        <w:tc>
          <w:tcPr>
            <w:tcW w:w="1701" w:type="dxa"/>
            <w:noWrap/>
            <w:hideMark/>
          </w:tcPr>
          <w:p w:rsidR="007A0651" w:rsidRPr="00391B2B" w:rsidRDefault="007A0651" w:rsidP="0067675D">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5%</w:t>
            </w:r>
          </w:p>
        </w:tc>
        <w:tc>
          <w:tcPr>
            <w:tcW w:w="1984" w:type="dxa"/>
            <w:noWrap/>
            <w:hideMark/>
          </w:tcPr>
          <w:p w:rsidR="007A0651" w:rsidRPr="00391B2B" w:rsidRDefault="007A0651" w:rsidP="0067675D">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33,45</w:t>
            </w:r>
          </w:p>
        </w:tc>
        <w:tc>
          <w:tcPr>
            <w:tcW w:w="1560" w:type="dxa"/>
          </w:tcPr>
          <w:p w:rsidR="007A0651" w:rsidRPr="00391B2B" w:rsidRDefault="007A0651" w:rsidP="0067675D">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hAnsi="Century Gothic"/>
              </w:rPr>
              <w:t>1,59</w:t>
            </w:r>
          </w:p>
        </w:tc>
      </w:tr>
      <w:tr w:rsidR="007A0651" w:rsidRPr="005B71FA" w:rsidTr="006767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rsidR="007A0651" w:rsidRPr="00391B2B" w:rsidRDefault="007A0651" w:rsidP="0067675D">
            <w:pPr>
              <w:rPr>
                <w:rFonts w:ascii="Century Gothic" w:eastAsia="Times New Roman" w:hAnsi="Century Gothic" w:cs="Calibri"/>
                <w:color w:val="000000"/>
                <w:lang w:eastAsia="el-GR"/>
              </w:rPr>
            </w:pPr>
            <w:r w:rsidRPr="00391B2B">
              <w:rPr>
                <w:rFonts w:ascii="Century Gothic" w:eastAsia="Times New Roman" w:hAnsi="Century Gothic" w:cs="Calibri"/>
                <w:color w:val="000000"/>
                <w:lang w:val="en-GB" w:eastAsia="el-GR"/>
              </w:rPr>
              <w:t>6-9</w:t>
            </w:r>
          </w:p>
        </w:tc>
        <w:tc>
          <w:tcPr>
            <w:tcW w:w="1701" w:type="dxa"/>
            <w:noWrap/>
            <w:hideMark/>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10%</w:t>
            </w:r>
          </w:p>
        </w:tc>
        <w:tc>
          <w:tcPr>
            <w:tcW w:w="1984" w:type="dxa"/>
            <w:noWrap/>
            <w:hideMark/>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35,04</w:t>
            </w:r>
          </w:p>
        </w:tc>
        <w:tc>
          <w:tcPr>
            <w:tcW w:w="1560" w:type="dxa"/>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hAnsi="Century Gothic"/>
              </w:rPr>
              <w:t>3,19</w:t>
            </w:r>
          </w:p>
        </w:tc>
      </w:tr>
      <w:tr w:rsidR="007A0651" w:rsidRPr="005B71FA" w:rsidTr="0067675D">
        <w:trPr>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rsidR="007A0651" w:rsidRPr="00391B2B" w:rsidRDefault="007A0651" w:rsidP="0067675D">
            <w:pPr>
              <w:rPr>
                <w:rFonts w:ascii="Century Gothic" w:eastAsia="Times New Roman" w:hAnsi="Century Gothic" w:cs="Calibri"/>
                <w:color w:val="000000"/>
                <w:lang w:eastAsia="el-GR"/>
              </w:rPr>
            </w:pPr>
            <w:r w:rsidRPr="00391B2B">
              <w:rPr>
                <w:rFonts w:ascii="Century Gothic" w:eastAsia="Times New Roman" w:hAnsi="Century Gothic" w:cs="Calibri"/>
                <w:color w:val="000000"/>
                <w:lang w:val="en-GB" w:eastAsia="el-GR"/>
              </w:rPr>
              <w:t>9-12</w:t>
            </w:r>
          </w:p>
        </w:tc>
        <w:tc>
          <w:tcPr>
            <w:tcW w:w="1701" w:type="dxa"/>
            <w:noWrap/>
            <w:hideMark/>
          </w:tcPr>
          <w:p w:rsidR="007A0651" w:rsidRPr="00391B2B" w:rsidRDefault="007A0651" w:rsidP="0067675D">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15%</w:t>
            </w:r>
          </w:p>
        </w:tc>
        <w:tc>
          <w:tcPr>
            <w:tcW w:w="1984" w:type="dxa"/>
            <w:noWrap/>
            <w:hideMark/>
          </w:tcPr>
          <w:p w:rsidR="007A0651" w:rsidRPr="00391B2B" w:rsidRDefault="007A0651" w:rsidP="0067675D">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36,63</w:t>
            </w:r>
          </w:p>
        </w:tc>
        <w:tc>
          <w:tcPr>
            <w:tcW w:w="1560" w:type="dxa"/>
          </w:tcPr>
          <w:p w:rsidR="007A0651" w:rsidRPr="00391B2B" w:rsidRDefault="007A0651" w:rsidP="0067675D">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hAnsi="Century Gothic"/>
              </w:rPr>
              <w:t>4,78</w:t>
            </w:r>
          </w:p>
        </w:tc>
      </w:tr>
      <w:tr w:rsidR="007A0651" w:rsidRPr="005B71FA" w:rsidTr="006767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rsidR="007A0651" w:rsidRPr="00391B2B" w:rsidRDefault="007A0651" w:rsidP="0067675D">
            <w:pPr>
              <w:rPr>
                <w:rFonts w:ascii="Century Gothic" w:eastAsia="Times New Roman" w:hAnsi="Century Gothic" w:cs="Calibri"/>
                <w:color w:val="000000"/>
                <w:lang w:eastAsia="el-GR"/>
              </w:rPr>
            </w:pPr>
            <w:r w:rsidRPr="00391B2B">
              <w:rPr>
                <w:rFonts w:ascii="Century Gothic" w:eastAsia="Times New Roman" w:hAnsi="Century Gothic" w:cs="Calibri"/>
                <w:color w:val="000000"/>
                <w:lang w:val="en-GB" w:eastAsia="el-GR"/>
              </w:rPr>
              <w:lastRenderedPageBreak/>
              <w:t>12-15</w:t>
            </w:r>
          </w:p>
        </w:tc>
        <w:tc>
          <w:tcPr>
            <w:tcW w:w="1701" w:type="dxa"/>
            <w:noWrap/>
            <w:hideMark/>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20%</w:t>
            </w:r>
          </w:p>
        </w:tc>
        <w:tc>
          <w:tcPr>
            <w:tcW w:w="1984" w:type="dxa"/>
            <w:noWrap/>
            <w:hideMark/>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38,22</w:t>
            </w:r>
          </w:p>
        </w:tc>
        <w:tc>
          <w:tcPr>
            <w:tcW w:w="1560" w:type="dxa"/>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hAnsi="Century Gothic"/>
              </w:rPr>
              <w:t>6,37</w:t>
            </w:r>
          </w:p>
        </w:tc>
      </w:tr>
      <w:tr w:rsidR="007A0651" w:rsidRPr="005B71FA" w:rsidTr="0067675D">
        <w:trPr>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rsidR="007A0651" w:rsidRPr="00391B2B" w:rsidRDefault="007A0651" w:rsidP="0067675D">
            <w:pPr>
              <w:rPr>
                <w:rFonts w:ascii="Century Gothic" w:eastAsia="Times New Roman" w:hAnsi="Century Gothic" w:cs="Calibri"/>
                <w:color w:val="000000"/>
                <w:lang w:eastAsia="el-GR"/>
              </w:rPr>
            </w:pPr>
            <w:r w:rsidRPr="00391B2B">
              <w:rPr>
                <w:rFonts w:ascii="Century Gothic" w:eastAsia="Times New Roman" w:hAnsi="Century Gothic" w:cs="Calibri"/>
                <w:color w:val="000000"/>
                <w:lang w:val="en-GB" w:eastAsia="el-GR"/>
              </w:rPr>
              <w:t>15-18</w:t>
            </w:r>
          </w:p>
        </w:tc>
        <w:tc>
          <w:tcPr>
            <w:tcW w:w="1701" w:type="dxa"/>
            <w:noWrap/>
            <w:hideMark/>
          </w:tcPr>
          <w:p w:rsidR="007A0651" w:rsidRPr="00391B2B" w:rsidRDefault="007A0651" w:rsidP="0067675D">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25%</w:t>
            </w:r>
          </w:p>
        </w:tc>
        <w:tc>
          <w:tcPr>
            <w:tcW w:w="1984" w:type="dxa"/>
            <w:noWrap/>
            <w:hideMark/>
          </w:tcPr>
          <w:p w:rsidR="007A0651" w:rsidRPr="00391B2B" w:rsidRDefault="007A0651" w:rsidP="0067675D">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39,82</w:t>
            </w:r>
          </w:p>
        </w:tc>
        <w:tc>
          <w:tcPr>
            <w:tcW w:w="1560" w:type="dxa"/>
          </w:tcPr>
          <w:p w:rsidR="007A0651" w:rsidRPr="00391B2B" w:rsidRDefault="007A0651" w:rsidP="0067675D">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hAnsi="Century Gothic"/>
              </w:rPr>
              <w:t>7,96</w:t>
            </w:r>
          </w:p>
        </w:tc>
      </w:tr>
      <w:tr w:rsidR="007A0651" w:rsidRPr="005B71FA" w:rsidTr="0067675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rsidR="007A0651" w:rsidRPr="00391B2B" w:rsidRDefault="007A0651" w:rsidP="0067675D">
            <w:pPr>
              <w:rPr>
                <w:rFonts w:ascii="Century Gothic" w:eastAsia="Times New Roman" w:hAnsi="Century Gothic" w:cs="Calibri"/>
                <w:color w:val="000000"/>
                <w:lang w:eastAsia="el-GR"/>
              </w:rPr>
            </w:pPr>
            <w:r w:rsidRPr="00391B2B">
              <w:rPr>
                <w:rFonts w:ascii="Century Gothic" w:eastAsia="Times New Roman" w:hAnsi="Century Gothic" w:cs="Calibri"/>
                <w:color w:val="000000"/>
                <w:lang w:val="en-GB" w:eastAsia="el-GR"/>
              </w:rPr>
              <w:t xml:space="preserve">18 και </w:t>
            </w:r>
            <w:proofErr w:type="spellStart"/>
            <w:r w:rsidRPr="00391B2B">
              <w:rPr>
                <w:rFonts w:ascii="Century Gothic" w:eastAsia="Times New Roman" w:hAnsi="Century Gothic" w:cs="Calibri"/>
                <w:color w:val="000000"/>
                <w:lang w:val="en-GB" w:eastAsia="el-GR"/>
              </w:rPr>
              <w:t>άνω</w:t>
            </w:r>
            <w:proofErr w:type="spellEnd"/>
          </w:p>
        </w:tc>
        <w:tc>
          <w:tcPr>
            <w:tcW w:w="1701" w:type="dxa"/>
            <w:noWrap/>
            <w:hideMark/>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30%</w:t>
            </w:r>
          </w:p>
        </w:tc>
        <w:tc>
          <w:tcPr>
            <w:tcW w:w="1984" w:type="dxa"/>
            <w:noWrap/>
            <w:hideMark/>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eastAsia="Times New Roman" w:hAnsi="Century Gothic" w:cs="Calibri"/>
                <w:color w:val="000000"/>
                <w:lang w:eastAsia="el-GR"/>
              </w:rPr>
              <w:t>41,41</w:t>
            </w:r>
          </w:p>
        </w:tc>
        <w:tc>
          <w:tcPr>
            <w:tcW w:w="1560" w:type="dxa"/>
          </w:tcPr>
          <w:p w:rsidR="007A0651" w:rsidRPr="00391B2B" w:rsidRDefault="007A0651" w:rsidP="0067675D">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l-GR"/>
              </w:rPr>
            </w:pPr>
            <w:r w:rsidRPr="00391B2B">
              <w:rPr>
                <w:rFonts w:ascii="Century Gothic" w:hAnsi="Century Gothic"/>
              </w:rPr>
              <w:t>9,56</w:t>
            </w:r>
          </w:p>
        </w:tc>
      </w:tr>
    </w:tbl>
    <w:p w:rsidR="007A0651" w:rsidRDefault="007A0651" w:rsidP="007A0651">
      <w:pPr>
        <w:rPr>
          <w:rFonts w:ascii="Century Gothic" w:hAnsi="Century Gothic"/>
        </w:rPr>
      </w:pPr>
      <w:r w:rsidRPr="008B4488">
        <w:rPr>
          <w:rFonts w:ascii="Century Gothic" w:hAnsi="Century Gothic"/>
        </w:rPr>
        <w:t xml:space="preserve">* </w:t>
      </w:r>
      <w:proofErr w:type="spellStart"/>
      <w:r w:rsidRPr="008B4488">
        <w:rPr>
          <w:rFonts w:ascii="Century Gothic" w:hAnsi="Century Gothic"/>
        </w:rPr>
        <w:t>συμπληρωθείσα</w:t>
      </w:r>
      <w:proofErr w:type="spellEnd"/>
      <w:r w:rsidRPr="008B4488">
        <w:rPr>
          <w:rFonts w:ascii="Century Gothic" w:hAnsi="Century Gothic"/>
        </w:rPr>
        <w:t xml:space="preserve"> υπηρεσία την 14.2.2012</w:t>
      </w:r>
    </w:p>
    <w:p w:rsidR="007A0651" w:rsidRPr="007A0651" w:rsidRDefault="007A0651" w:rsidP="007A0651">
      <w:pPr>
        <w:rPr>
          <w:rFonts w:ascii="Century Gothic" w:hAnsi="Century Gothic"/>
        </w:rPr>
      </w:pPr>
      <w:r w:rsidRPr="008B4488">
        <w:rPr>
          <w:rFonts w:ascii="Century Gothic" w:hAnsi="Century Gothic"/>
          <w:bCs/>
          <w:i/>
        </w:rPr>
        <w:t>Για τους εργαζόμενους που έχουν προϋπηρεσία οι αποδοχές είναι αυξημένες κατά έως και 213 ευρώ το μήνα.</w:t>
      </w:r>
    </w:p>
    <w:p w:rsidR="007A0651" w:rsidRPr="008B4488" w:rsidRDefault="007A0651" w:rsidP="007A0651">
      <w:pPr>
        <w:rPr>
          <w:rFonts w:ascii="Century Gothic" w:hAnsi="Century Gothic"/>
          <w:b/>
          <w:bCs/>
        </w:rPr>
      </w:pPr>
    </w:p>
    <w:p w:rsidR="007A0651" w:rsidRPr="007A0651" w:rsidRDefault="007A0651" w:rsidP="007A0651">
      <w:pPr>
        <w:rPr>
          <w:rFonts w:ascii="Century Gothic" w:hAnsi="Century Gothic"/>
          <w:b/>
          <w:bCs/>
        </w:rPr>
      </w:pPr>
      <w:r w:rsidRPr="008B4488">
        <w:rPr>
          <w:rFonts w:ascii="Century Gothic" w:hAnsi="Century Gothic"/>
          <w:b/>
          <w:bCs/>
        </w:rPr>
        <w:t>Αποτελέσματα της διαβούλευσης : οι προτάσεις των επιστημονικών φορέων και των κοινωνικών εταίρων για τον κατώτατο μισθό</w:t>
      </w:r>
    </w:p>
    <w:tbl>
      <w:tblPr>
        <w:tblStyle w:val="GridTable4-Accent11"/>
        <w:tblW w:w="8642" w:type="dxa"/>
        <w:tblLook w:val="04A0" w:firstRow="1" w:lastRow="0" w:firstColumn="1" w:lastColumn="0" w:noHBand="0" w:noVBand="1"/>
      </w:tblPr>
      <w:tblGrid>
        <w:gridCol w:w="2263"/>
        <w:gridCol w:w="6379"/>
      </w:tblGrid>
      <w:tr w:rsidR="007A0651" w:rsidRPr="00B04C36" w:rsidTr="00676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A0651" w:rsidRPr="00B04C36" w:rsidRDefault="007A0651" w:rsidP="0067675D">
            <w:pPr>
              <w:rPr>
                <w:rFonts w:ascii="Century Gothic" w:hAnsi="Century Gothic"/>
                <w:b w:val="0"/>
                <w:bCs w:val="0"/>
                <w:sz w:val="24"/>
                <w:szCs w:val="24"/>
              </w:rPr>
            </w:pPr>
            <w:r>
              <w:rPr>
                <w:rFonts w:ascii="Century Gothic" w:hAnsi="Century Gothic"/>
                <w:sz w:val="24"/>
                <w:szCs w:val="24"/>
              </w:rPr>
              <w:t>Φορέας</w:t>
            </w:r>
          </w:p>
        </w:tc>
        <w:tc>
          <w:tcPr>
            <w:tcW w:w="6379" w:type="dxa"/>
          </w:tcPr>
          <w:p w:rsidR="007A0651" w:rsidRPr="00B04C36" w:rsidRDefault="007A0651" w:rsidP="006767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sz w:val="24"/>
                <w:szCs w:val="24"/>
              </w:rPr>
            </w:pPr>
            <w:r w:rsidRPr="00B04C36">
              <w:rPr>
                <w:rFonts w:ascii="Century Gothic" w:hAnsi="Century Gothic"/>
                <w:sz w:val="24"/>
                <w:szCs w:val="24"/>
              </w:rPr>
              <w:t>Πρόταση</w:t>
            </w:r>
          </w:p>
        </w:tc>
      </w:tr>
      <w:tr w:rsidR="007A0651" w:rsidRPr="00B04C36" w:rsidTr="006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A0651" w:rsidRPr="00B04C36" w:rsidRDefault="007A0651" w:rsidP="0067675D">
            <w:pPr>
              <w:rPr>
                <w:rFonts w:ascii="Century Gothic" w:hAnsi="Century Gothic"/>
                <w:sz w:val="24"/>
                <w:szCs w:val="24"/>
              </w:rPr>
            </w:pPr>
            <w:proofErr w:type="spellStart"/>
            <w:r w:rsidRPr="00B04C36">
              <w:rPr>
                <w:rFonts w:ascii="Century Gothic" w:hAnsi="Century Gothic"/>
                <w:sz w:val="24"/>
                <w:szCs w:val="24"/>
              </w:rPr>
              <w:t>ΤτΕ</w:t>
            </w:r>
            <w:proofErr w:type="spellEnd"/>
            <w:r w:rsidRPr="00B04C36">
              <w:rPr>
                <w:rFonts w:ascii="Century Gothic" w:hAnsi="Century Gothic"/>
                <w:sz w:val="24"/>
                <w:szCs w:val="24"/>
              </w:rPr>
              <w:t xml:space="preserve"> </w:t>
            </w:r>
          </w:p>
        </w:tc>
        <w:tc>
          <w:tcPr>
            <w:tcW w:w="6379" w:type="dxa"/>
            <w:vAlign w:val="center"/>
          </w:tcPr>
          <w:p w:rsidR="007A0651" w:rsidRPr="00B04C36"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B04C36">
              <w:rPr>
                <w:rFonts w:ascii="Century Gothic" w:hAnsi="Century Gothic"/>
                <w:sz w:val="24"/>
                <w:szCs w:val="24"/>
              </w:rPr>
              <w:t>+ 2,7%-3,4%</w:t>
            </w:r>
          </w:p>
        </w:tc>
      </w:tr>
      <w:tr w:rsidR="007A0651" w:rsidRPr="00B04C36" w:rsidTr="0067675D">
        <w:tc>
          <w:tcPr>
            <w:cnfStyle w:val="001000000000" w:firstRow="0" w:lastRow="0" w:firstColumn="1" w:lastColumn="0" w:oddVBand="0" w:evenVBand="0" w:oddHBand="0" w:evenHBand="0" w:firstRowFirstColumn="0" w:firstRowLastColumn="0" w:lastRowFirstColumn="0" w:lastRowLastColumn="0"/>
            <w:tcW w:w="2263" w:type="dxa"/>
          </w:tcPr>
          <w:p w:rsidR="007A0651" w:rsidRPr="00B04C36" w:rsidRDefault="007A0651" w:rsidP="0067675D">
            <w:pPr>
              <w:rPr>
                <w:rFonts w:ascii="Century Gothic" w:hAnsi="Century Gothic"/>
                <w:sz w:val="24"/>
                <w:szCs w:val="24"/>
              </w:rPr>
            </w:pPr>
            <w:r w:rsidRPr="00B04C36">
              <w:rPr>
                <w:rFonts w:ascii="Century Gothic" w:hAnsi="Century Gothic"/>
                <w:sz w:val="24"/>
                <w:szCs w:val="24"/>
              </w:rPr>
              <w:t>ΣΕΒ</w:t>
            </w:r>
          </w:p>
        </w:tc>
        <w:tc>
          <w:tcPr>
            <w:tcW w:w="6379" w:type="dxa"/>
            <w:vAlign w:val="center"/>
          </w:tcPr>
          <w:p w:rsidR="007A0651" w:rsidRPr="00B04C36" w:rsidRDefault="007A0651" w:rsidP="0067675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B04C36">
              <w:rPr>
                <w:rFonts w:ascii="Century Gothic" w:hAnsi="Century Gothic"/>
                <w:sz w:val="24"/>
                <w:szCs w:val="24"/>
              </w:rPr>
              <w:t>+ 4%</w:t>
            </w:r>
          </w:p>
        </w:tc>
      </w:tr>
      <w:tr w:rsidR="007A0651" w:rsidRPr="00B04C36" w:rsidTr="006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A0651" w:rsidRPr="00B04C36" w:rsidRDefault="007A0651" w:rsidP="0067675D">
            <w:pPr>
              <w:rPr>
                <w:rFonts w:ascii="Century Gothic" w:hAnsi="Century Gothic"/>
                <w:sz w:val="24"/>
                <w:szCs w:val="24"/>
              </w:rPr>
            </w:pPr>
            <w:r w:rsidRPr="00B04C36">
              <w:rPr>
                <w:rFonts w:ascii="Century Gothic" w:hAnsi="Century Gothic"/>
                <w:sz w:val="24"/>
                <w:szCs w:val="24"/>
              </w:rPr>
              <w:t>ΣΕΤΕ/ΙΝΣΕΤΕ</w:t>
            </w:r>
          </w:p>
        </w:tc>
        <w:tc>
          <w:tcPr>
            <w:tcW w:w="6379" w:type="dxa"/>
            <w:vAlign w:val="center"/>
          </w:tcPr>
          <w:p w:rsidR="007A0651" w:rsidRPr="00B04C36"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B04C36">
              <w:rPr>
                <w:rFonts w:ascii="Century Gothic" w:hAnsi="Century Gothic"/>
                <w:sz w:val="24"/>
                <w:szCs w:val="24"/>
              </w:rPr>
              <w:t>+3%-4%</w:t>
            </w:r>
          </w:p>
        </w:tc>
      </w:tr>
      <w:tr w:rsidR="007A0651" w:rsidRPr="00B04C36" w:rsidTr="0067675D">
        <w:tc>
          <w:tcPr>
            <w:cnfStyle w:val="001000000000" w:firstRow="0" w:lastRow="0" w:firstColumn="1" w:lastColumn="0" w:oddVBand="0" w:evenVBand="0" w:oddHBand="0" w:evenHBand="0" w:firstRowFirstColumn="0" w:firstRowLastColumn="0" w:lastRowFirstColumn="0" w:lastRowLastColumn="0"/>
            <w:tcW w:w="2263" w:type="dxa"/>
          </w:tcPr>
          <w:p w:rsidR="007A0651" w:rsidRPr="00B04C36" w:rsidRDefault="007A0651" w:rsidP="0067675D">
            <w:pPr>
              <w:rPr>
                <w:rFonts w:ascii="Century Gothic" w:hAnsi="Century Gothic"/>
                <w:sz w:val="24"/>
                <w:szCs w:val="24"/>
              </w:rPr>
            </w:pPr>
            <w:r w:rsidRPr="00B04C36">
              <w:rPr>
                <w:rFonts w:ascii="Century Gothic" w:hAnsi="Century Gothic"/>
                <w:sz w:val="24"/>
                <w:szCs w:val="24"/>
              </w:rPr>
              <w:t>ΣΒΕ</w:t>
            </w:r>
          </w:p>
        </w:tc>
        <w:tc>
          <w:tcPr>
            <w:tcW w:w="6379" w:type="dxa"/>
            <w:vAlign w:val="center"/>
          </w:tcPr>
          <w:p w:rsidR="007A0651" w:rsidRPr="00B04C36" w:rsidRDefault="007A0651" w:rsidP="0067675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B04C36">
              <w:rPr>
                <w:rFonts w:ascii="Century Gothic" w:hAnsi="Century Gothic"/>
                <w:sz w:val="24"/>
                <w:szCs w:val="24"/>
              </w:rPr>
              <w:t>+ 3% - 5%</w:t>
            </w:r>
          </w:p>
        </w:tc>
      </w:tr>
      <w:tr w:rsidR="007A0651" w:rsidRPr="00B04C36" w:rsidTr="006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A0651" w:rsidRPr="00B04C36" w:rsidRDefault="007A0651" w:rsidP="0067675D">
            <w:pPr>
              <w:rPr>
                <w:rFonts w:ascii="Century Gothic" w:hAnsi="Century Gothic"/>
                <w:sz w:val="24"/>
                <w:szCs w:val="24"/>
              </w:rPr>
            </w:pPr>
            <w:r w:rsidRPr="00B04C36">
              <w:rPr>
                <w:rFonts w:ascii="Century Gothic" w:hAnsi="Century Gothic"/>
                <w:sz w:val="24"/>
                <w:szCs w:val="24"/>
              </w:rPr>
              <w:t xml:space="preserve">ΙΟΒΕ </w:t>
            </w:r>
          </w:p>
        </w:tc>
        <w:tc>
          <w:tcPr>
            <w:tcW w:w="6379" w:type="dxa"/>
            <w:vAlign w:val="center"/>
          </w:tcPr>
          <w:p w:rsidR="007A0651" w:rsidRPr="00B04C36"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B04C36">
              <w:rPr>
                <w:rFonts w:ascii="Century Gothic" w:hAnsi="Century Gothic"/>
                <w:sz w:val="24"/>
                <w:szCs w:val="24"/>
              </w:rPr>
              <w:t>Ήπια αύξηση</w:t>
            </w:r>
          </w:p>
        </w:tc>
      </w:tr>
      <w:tr w:rsidR="007A0651" w:rsidRPr="00B04C36" w:rsidTr="0067675D">
        <w:tc>
          <w:tcPr>
            <w:cnfStyle w:val="001000000000" w:firstRow="0" w:lastRow="0" w:firstColumn="1" w:lastColumn="0" w:oddVBand="0" w:evenVBand="0" w:oddHBand="0" w:evenHBand="0" w:firstRowFirstColumn="0" w:firstRowLastColumn="0" w:lastRowFirstColumn="0" w:lastRowLastColumn="0"/>
            <w:tcW w:w="2263" w:type="dxa"/>
          </w:tcPr>
          <w:p w:rsidR="007A0651" w:rsidRPr="00B04C36" w:rsidRDefault="007A0651" w:rsidP="0067675D">
            <w:pPr>
              <w:rPr>
                <w:rFonts w:ascii="Century Gothic" w:hAnsi="Century Gothic"/>
                <w:sz w:val="24"/>
                <w:szCs w:val="24"/>
              </w:rPr>
            </w:pPr>
            <w:r w:rsidRPr="00B04C36">
              <w:rPr>
                <w:rFonts w:ascii="Century Gothic" w:hAnsi="Century Gothic"/>
                <w:sz w:val="24"/>
                <w:szCs w:val="24"/>
              </w:rPr>
              <w:t>ΚΕΠΕ</w:t>
            </w:r>
          </w:p>
        </w:tc>
        <w:tc>
          <w:tcPr>
            <w:tcW w:w="6379" w:type="dxa"/>
            <w:vAlign w:val="center"/>
          </w:tcPr>
          <w:p w:rsidR="007A0651" w:rsidRPr="00B04C36" w:rsidRDefault="007A0651" w:rsidP="0067675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B04C36">
              <w:rPr>
                <w:rFonts w:ascii="Century Gothic" w:hAnsi="Century Gothic"/>
                <w:sz w:val="24"/>
                <w:szCs w:val="24"/>
              </w:rPr>
              <w:t>3%-6%</w:t>
            </w:r>
          </w:p>
        </w:tc>
      </w:tr>
      <w:tr w:rsidR="007A0651" w:rsidRPr="00B04C36" w:rsidTr="006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A0651" w:rsidRPr="00B04C36" w:rsidRDefault="007A0651" w:rsidP="0067675D">
            <w:pPr>
              <w:rPr>
                <w:rFonts w:ascii="Century Gothic" w:hAnsi="Century Gothic"/>
                <w:sz w:val="24"/>
                <w:szCs w:val="24"/>
              </w:rPr>
            </w:pPr>
            <w:r w:rsidRPr="00B04C36">
              <w:rPr>
                <w:rFonts w:ascii="Century Gothic" w:hAnsi="Century Gothic"/>
                <w:sz w:val="24"/>
                <w:szCs w:val="24"/>
              </w:rPr>
              <w:t xml:space="preserve">Επιτροπή </w:t>
            </w:r>
            <w:proofErr w:type="spellStart"/>
            <w:r w:rsidRPr="00B04C36">
              <w:rPr>
                <w:rFonts w:ascii="Century Gothic" w:hAnsi="Century Gothic"/>
                <w:sz w:val="24"/>
                <w:szCs w:val="24"/>
              </w:rPr>
              <w:t>εμπ</w:t>
            </w:r>
            <w:proofErr w:type="spellEnd"/>
            <w:r w:rsidRPr="00B04C36">
              <w:rPr>
                <w:rFonts w:ascii="Century Gothic" w:hAnsi="Century Gothic"/>
                <w:sz w:val="24"/>
                <w:szCs w:val="24"/>
              </w:rPr>
              <w:t>/</w:t>
            </w:r>
            <w:proofErr w:type="spellStart"/>
            <w:r w:rsidRPr="00B04C36">
              <w:rPr>
                <w:rFonts w:ascii="Century Gothic" w:hAnsi="Century Gothic"/>
                <w:sz w:val="24"/>
                <w:szCs w:val="24"/>
              </w:rPr>
              <w:t>νων</w:t>
            </w:r>
            <w:proofErr w:type="spellEnd"/>
            <w:r w:rsidRPr="00B04C36">
              <w:rPr>
                <w:rFonts w:ascii="Century Gothic" w:hAnsi="Century Gothic"/>
                <w:sz w:val="24"/>
                <w:szCs w:val="24"/>
              </w:rPr>
              <w:t xml:space="preserve"> </w:t>
            </w:r>
          </w:p>
        </w:tc>
        <w:tc>
          <w:tcPr>
            <w:tcW w:w="6379" w:type="dxa"/>
            <w:vAlign w:val="center"/>
          </w:tcPr>
          <w:p w:rsidR="007A0651" w:rsidRPr="00B04C36"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B04C36">
              <w:rPr>
                <w:rFonts w:ascii="Century Gothic" w:hAnsi="Century Gothic"/>
                <w:sz w:val="24"/>
                <w:szCs w:val="24"/>
              </w:rPr>
              <w:t>2,6% - 4,2%.</w:t>
            </w:r>
          </w:p>
        </w:tc>
      </w:tr>
      <w:tr w:rsidR="007A0651" w:rsidRPr="00B04C36" w:rsidTr="0067675D">
        <w:tc>
          <w:tcPr>
            <w:cnfStyle w:val="001000000000" w:firstRow="0" w:lastRow="0" w:firstColumn="1" w:lastColumn="0" w:oddVBand="0" w:evenVBand="0" w:oddHBand="0" w:evenHBand="0" w:firstRowFirstColumn="0" w:firstRowLastColumn="0" w:lastRowFirstColumn="0" w:lastRowLastColumn="0"/>
            <w:tcW w:w="2263" w:type="dxa"/>
          </w:tcPr>
          <w:p w:rsidR="007A0651" w:rsidRPr="00B04C36" w:rsidRDefault="007A0651" w:rsidP="0067675D">
            <w:pPr>
              <w:rPr>
                <w:rFonts w:ascii="Century Gothic" w:hAnsi="Century Gothic"/>
                <w:sz w:val="24"/>
                <w:szCs w:val="24"/>
              </w:rPr>
            </w:pPr>
            <w:r w:rsidRPr="00B04C36">
              <w:rPr>
                <w:rFonts w:ascii="Century Gothic" w:hAnsi="Century Gothic"/>
                <w:sz w:val="24"/>
                <w:szCs w:val="24"/>
              </w:rPr>
              <w:t xml:space="preserve">ΕΙΕΑΔ </w:t>
            </w:r>
          </w:p>
        </w:tc>
        <w:tc>
          <w:tcPr>
            <w:tcW w:w="6379" w:type="dxa"/>
            <w:vAlign w:val="center"/>
          </w:tcPr>
          <w:p w:rsidR="007A0651" w:rsidRPr="00B04C36" w:rsidRDefault="007A0651" w:rsidP="0067675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B04C36">
              <w:rPr>
                <w:rFonts w:ascii="Century Gothic" w:hAnsi="Century Gothic"/>
                <w:sz w:val="24"/>
                <w:szCs w:val="24"/>
              </w:rPr>
              <w:t>7%</w:t>
            </w:r>
          </w:p>
        </w:tc>
      </w:tr>
      <w:tr w:rsidR="007A0651" w:rsidRPr="00B04C36" w:rsidTr="006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A0651" w:rsidRPr="00B04C36" w:rsidRDefault="007A0651" w:rsidP="0067675D">
            <w:pPr>
              <w:rPr>
                <w:rFonts w:ascii="Century Gothic" w:hAnsi="Century Gothic"/>
                <w:sz w:val="24"/>
                <w:szCs w:val="24"/>
              </w:rPr>
            </w:pPr>
            <w:r w:rsidRPr="00B04C36">
              <w:rPr>
                <w:rFonts w:ascii="Century Gothic" w:hAnsi="Century Gothic"/>
                <w:sz w:val="24"/>
                <w:szCs w:val="24"/>
              </w:rPr>
              <w:t>ΙΜΕ-ΓΣΕΒΕΕ</w:t>
            </w:r>
          </w:p>
        </w:tc>
        <w:tc>
          <w:tcPr>
            <w:tcW w:w="6379" w:type="dxa"/>
            <w:vAlign w:val="center"/>
          </w:tcPr>
          <w:p w:rsidR="007A0651" w:rsidRPr="00B04C36"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val="en-US"/>
              </w:rPr>
            </w:pPr>
            <w:r w:rsidRPr="00B04C36">
              <w:rPr>
                <w:rFonts w:ascii="Century Gothic" w:hAnsi="Century Gothic"/>
                <w:sz w:val="24"/>
                <w:szCs w:val="24"/>
              </w:rPr>
              <w:t>Στα επίπεδα του πληθωρισμού</w:t>
            </w:r>
          </w:p>
        </w:tc>
      </w:tr>
      <w:tr w:rsidR="007A0651" w:rsidRPr="00B04C36" w:rsidTr="0067675D">
        <w:tc>
          <w:tcPr>
            <w:cnfStyle w:val="001000000000" w:firstRow="0" w:lastRow="0" w:firstColumn="1" w:lastColumn="0" w:oddVBand="0" w:evenVBand="0" w:oddHBand="0" w:evenHBand="0" w:firstRowFirstColumn="0" w:firstRowLastColumn="0" w:lastRowFirstColumn="0" w:lastRowLastColumn="0"/>
            <w:tcW w:w="2263" w:type="dxa"/>
          </w:tcPr>
          <w:p w:rsidR="007A0651" w:rsidRPr="00B04C36" w:rsidRDefault="007A0651" w:rsidP="0067675D">
            <w:pPr>
              <w:rPr>
                <w:rFonts w:ascii="Century Gothic" w:hAnsi="Century Gothic"/>
                <w:sz w:val="24"/>
                <w:szCs w:val="24"/>
              </w:rPr>
            </w:pPr>
            <w:r w:rsidRPr="00B04C36">
              <w:rPr>
                <w:rFonts w:ascii="Century Gothic" w:hAnsi="Century Gothic"/>
                <w:sz w:val="24"/>
                <w:szCs w:val="24"/>
              </w:rPr>
              <w:t>ΙΝΕΜΥ -ΕΣΕΕ</w:t>
            </w:r>
          </w:p>
        </w:tc>
        <w:tc>
          <w:tcPr>
            <w:tcW w:w="6379" w:type="dxa"/>
            <w:vAlign w:val="center"/>
          </w:tcPr>
          <w:p w:rsidR="007A0651" w:rsidRPr="00B04C36" w:rsidRDefault="007A0651" w:rsidP="0067675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B04C36">
              <w:rPr>
                <w:rFonts w:ascii="Century Gothic" w:hAnsi="Century Gothic"/>
                <w:sz w:val="24"/>
                <w:szCs w:val="24"/>
              </w:rPr>
              <w:t>Στα επίπεδα του πληθωρισμού</w:t>
            </w:r>
          </w:p>
        </w:tc>
      </w:tr>
      <w:tr w:rsidR="007A0651" w:rsidRPr="00B04C36" w:rsidTr="0067675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263" w:type="dxa"/>
          </w:tcPr>
          <w:p w:rsidR="007A0651" w:rsidRPr="00B04C36" w:rsidRDefault="007A0651" w:rsidP="0067675D">
            <w:pPr>
              <w:rPr>
                <w:rFonts w:ascii="Century Gothic" w:hAnsi="Century Gothic"/>
                <w:sz w:val="24"/>
                <w:szCs w:val="24"/>
              </w:rPr>
            </w:pPr>
            <w:r w:rsidRPr="00B04C36">
              <w:rPr>
                <w:rFonts w:ascii="Century Gothic" w:hAnsi="Century Gothic"/>
                <w:sz w:val="24"/>
                <w:szCs w:val="24"/>
              </w:rPr>
              <w:t>ΙΝΕ-ΓΣΕΕ</w:t>
            </w:r>
          </w:p>
        </w:tc>
        <w:tc>
          <w:tcPr>
            <w:tcW w:w="6379" w:type="dxa"/>
            <w:vAlign w:val="center"/>
          </w:tcPr>
          <w:p w:rsidR="007A0651" w:rsidRPr="00B04C36" w:rsidRDefault="007A0651" w:rsidP="006767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B04C36">
              <w:rPr>
                <w:rFonts w:ascii="Century Gothic" w:hAnsi="Century Gothic"/>
                <w:sz w:val="24"/>
                <w:szCs w:val="24"/>
              </w:rPr>
              <w:t>+ 13,3%</w:t>
            </w:r>
          </w:p>
        </w:tc>
      </w:tr>
    </w:tbl>
    <w:p w:rsidR="007A0651" w:rsidRPr="008B4488" w:rsidRDefault="007A0651" w:rsidP="007A0651">
      <w:pPr>
        <w:rPr>
          <w:rFonts w:ascii="Century Gothic" w:hAnsi="Century Gothic"/>
          <w:b/>
          <w:bCs/>
        </w:rPr>
      </w:pPr>
    </w:p>
    <w:p w:rsidR="007A0651" w:rsidRPr="00DB75A3" w:rsidRDefault="007A0651" w:rsidP="00DB75A3">
      <w:pPr>
        <w:jc w:val="both"/>
        <w:rPr>
          <w:sz w:val="24"/>
          <w:szCs w:val="24"/>
        </w:rPr>
      </w:pPr>
    </w:p>
    <w:p w:rsidR="00DB75A3" w:rsidRPr="00DB75A3" w:rsidRDefault="00DB75A3" w:rsidP="00DB75A3">
      <w:pPr>
        <w:jc w:val="both"/>
        <w:rPr>
          <w:sz w:val="24"/>
          <w:szCs w:val="24"/>
        </w:rPr>
      </w:pPr>
    </w:p>
    <w:p w:rsidR="002D5B3A" w:rsidRPr="00DB75A3" w:rsidRDefault="002D5B3A" w:rsidP="00F924A8">
      <w:pPr>
        <w:spacing w:line="240" w:lineRule="auto"/>
        <w:ind w:left="284" w:hanging="284"/>
        <w:jc w:val="both"/>
        <w:rPr>
          <w:rFonts w:cstheme="minorHAnsi"/>
          <w:sz w:val="24"/>
          <w:szCs w:val="24"/>
        </w:rPr>
      </w:pPr>
      <w:r w:rsidRPr="00DB75A3">
        <w:rPr>
          <w:rFonts w:cstheme="minorHAnsi"/>
          <w:sz w:val="24"/>
          <w:szCs w:val="24"/>
        </w:rPr>
        <w:t>.</w:t>
      </w:r>
    </w:p>
    <w:p w:rsidR="001F1689" w:rsidRPr="00DB75A3" w:rsidRDefault="001F1689" w:rsidP="00BD640E">
      <w:pPr>
        <w:rPr>
          <w:rFonts w:cstheme="minorHAnsi"/>
          <w:b/>
          <w:sz w:val="24"/>
          <w:szCs w:val="24"/>
        </w:rPr>
      </w:pPr>
    </w:p>
    <w:p w:rsidR="00463105" w:rsidRPr="00DB75A3" w:rsidRDefault="00463105" w:rsidP="00BD640E">
      <w:pPr>
        <w:rPr>
          <w:rFonts w:cstheme="minorHAnsi"/>
          <w:b/>
          <w:sz w:val="24"/>
          <w:szCs w:val="24"/>
        </w:rPr>
      </w:pPr>
    </w:p>
    <w:sectPr w:rsidR="00463105" w:rsidRPr="00DB75A3" w:rsidSect="00BC34EF">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E8" w:rsidRDefault="003D22E8" w:rsidP="00903640">
      <w:pPr>
        <w:spacing w:after="0" w:line="240" w:lineRule="auto"/>
      </w:pPr>
      <w:r>
        <w:separator/>
      </w:r>
    </w:p>
  </w:endnote>
  <w:endnote w:type="continuationSeparator" w:id="0">
    <w:p w:rsidR="003D22E8" w:rsidRDefault="003D22E8"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594546"/>
      <w:docPartObj>
        <w:docPartGallery w:val="Page Numbers (Bottom of Page)"/>
        <w:docPartUnique/>
      </w:docPartObj>
    </w:sdtPr>
    <w:sdtEndPr/>
    <w:sdtContent>
      <w:p w:rsidR="0082607F" w:rsidRDefault="00F94404">
        <w:pPr>
          <w:pStyle w:val="Footer"/>
          <w:jc w:val="center"/>
        </w:pPr>
        <w:r>
          <w:fldChar w:fldCharType="begin"/>
        </w:r>
        <w:r w:rsidR="0082607F">
          <w:instrText>PAGE   \* MERGEFORMAT</w:instrText>
        </w:r>
        <w:r>
          <w:fldChar w:fldCharType="separate"/>
        </w:r>
        <w:r w:rsidR="00A442B2">
          <w:rPr>
            <w:noProof/>
          </w:rPr>
          <w:t>7</w:t>
        </w:r>
        <w:r>
          <w:fldChar w:fldCharType="end"/>
        </w:r>
      </w:p>
    </w:sdtContent>
  </w:sdt>
  <w:p w:rsidR="0082607F" w:rsidRDefault="00826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78163"/>
      <w:docPartObj>
        <w:docPartGallery w:val="Page Numbers (Bottom of Page)"/>
        <w:docPartUnique/>
      </w:docPartObj>
    </w:sdtPr>
    <w:sdtEndPr/>
    <w:sdtContent>
      <w:p w:rsidR="00156B0C" w:rsidRDefault="00F94404">
        <w:pPr>
          <w:pStyle w:val="Footer"/>
          <w:jc w:val="right"/>
        </w:pPr>
        <w:r>
          <w:fldChar w:fldCharType="begin"/>
        </w:r>
        <w:r w:rsidR="00156B0C">
          <w:instrText>PAGE   \* MERGEFORMAT</w:instrText>
        </w:r>
        <w:r>
          <w:fldChar w:fldCharType="separate"/>
        </w:r>
        <w:r w:rsidR="00A442B2">
          <w:rPr>
            <w:noProof/>
          </w:rPr>
          <w:t>1</w:t>
        </w:r>
        <w:r>
          <w:fldChar w:fldCharType="end"/>
        </w:r>
      </w:p>
    </w:sdtContent>
  </w:sdt>
  <w:p w:rsidR="00156B0C" w:rsidRDefault="00156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E8" w:rsidRDefault="003D22E8" w:rsidP="00903640">
      <w:pPr>
        <w:spacing w:after="0" w:line="240" w:lineRule="auto"/>
      </w:pPr>
      <w:r>
        <w:separator/>
      </w:r>
    </w:p>
  </w:footnote>
  <w:footnote w:type="continuationSeparator" w:id="0">
    <w:p w:rsidR="003D22E8" w:rsidRDefault="003D22E8" w:rsidP="00903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40" w:rsidRDefault="00903640" w:rsidP="00BC34EF">
    <w:pPr>
      <w:pStyle w:val="Header"/>
      <w:tabs>
        <w:tab w:val="clear" w:pos="8306"/>
      </w:tabs>
      <w:ind w:left="-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4EF" w:rsidRDefault="006E55B7" w:rsidP="00631E64">
    <w:pPr>
      <w:pStyle w:val="Header"/>
      <w:tabs>
        <w:tab w:val="clear" w:pos="8306"/>
      </w:tabs>
      <w:ind w:left="-1800" w:right="-1759" w:firstLine="1658"/>
    </w:pPr>
    <w:r>
      <w:rPr>
        <w:noProof/>
        <w:lang w:eastAsia="el-GR"/>
      </w:rPr>
      <w:drawing>
        <wp:anchor distT="0" distB="0" distL="114300" distR="114300" simplePos="0" relativeHeight="251660288" behindDoc="0" locked="0" layoutInCell="1" allowOverlap="1">
          <wp:simplePos x="0" y="0"/>
          <wp:positionH relativeFrom="page">
            <wp:posOffset>6985</wp:posOffset>
          </wp:positionH>
          <wp:positionV relativeFrom="page">
            <wp:posOffset>7620</wp:posOffset>
          </wp:positionV>
          <wp:extent cx="7553936" cy="156972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tretch>
                    <a:fillRect/>
                  </a:stretch>
                </pic:blipFill>
                <pic:spPr>
                  <a:xfrm>
                    <a:off x="0" y="0"/>
                    <a:ext cx="7553936" cy="1569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A81"/>
    <w:multiLevelType w:val="hybridMultilevel"/>
    <w:tmpl w:val="A5A08E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E67B6B"/>
    <w:multiLevelType w:val="hybridMultilevel"/>
    <w:tmpl w:val="93884C62"/>
    <w:lvl w:ilvl="0" w:tplc="0408000F">
      <w:start w:val="1"/>
      <w:numFmt w:val="decimal"/>
      <w:lvlText w:val="%1."/>
      <w:lvlJc w:val="left"/>
      <w:pPr>
        <w:ind w:left="780" w:hanging="360"/>
      </w:pPr>
      <w:rPr>
        <w:rFont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13845378"/>
    <w:multiLevelType w:val="hybridMultilevel"/>
    <w:tmpl w:val="E37499EE"/>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0E5443"/>
    <w:multiLevelType w:val="hybridMultilevel"/>
    <w:tmpl w:val="9DD0D6A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F5B2D95"/>
    <w:multiLevelType w:val="hybridMultilevel"/>
    <w:tmpl w:val="CA269E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5023B5F"/>
    <w:multiLevelType w:val="hybridMultilevel"/>
    <w:tmpl w:val="B48834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7D24190"/>
    <w:multiLevelType w:val="hybridMultilevel"/>
    <w:tmpl w:val="FD0AFEFA"/>
    <w:lvl w:ilvl="0" w:tplc="CFC2D604">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B6D7448"/>
    <w:multiLevelType w:val="hybridMultilevel"/>
    <w:tmpl w:val="6DA4AD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89118DE"/>
    <w:multiLevelType w:val="hybridMultilevel"/>
    <w:tmpl w:val="895C37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8EF0D5F"/>
    <w:multiLevelType w:val="hybridMultilevel"/>
    <w:tmpl w:val="3A0C6E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D3508C5"/>
    <w:multiLevelType w:val="hybridMultilevel"/>
    <w:tmpl w:val="B6F8C8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822789B"/>
    <w:multiLevelType w:val="hybridMultilevel"/>
    <w:tmpl w:val="44DAEC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9D95113"/>
    <w:multiLevelType w:val="hybridMultilevel"/>
    <w:tmpl w:val="F654AC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EEB4997"/>
    <w:multiLevelType w:val="hybridMultilevel"/>
    <w:tmpl w:val="BDD62D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8"/>
  </w:num>
  <w:num w:numId="6">
    <w:abstractNumId w:val="10"/>
  </w:num>
  <w:num w:numId="7">
    <w:abstractNumId w:val="13"/>
  </w:num>
  <w:num w:numId="8">
    <w:abstractNumId w:val="3"/>
  </w:num>
  <w:num w:numId="9">
    <w:abstractNumId w:val="1"/>
  </w:num>
  <w:num w:numId="10">
    <w:abstractNumId w:val="4"/>
  </w:num>
  <w:num w:numId="11">
    <w:abstractNumId w:val="9"/>
  </w:num>
  <w:num w:numId="12">
    <w:abstractNumId w:val="12"/>
  </w:num>
  <w:num w:numId="13">
    <w:abstractNumId w:val="11"/>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F5"/>
    <w:rsid w:val="0000561C"/>
    <w:rsid w:val="000079E4"/>
    <w:rsid w:val="00036D69"/>
    <w:rsid w:val="00040DAF"/>
    <w:rsid w:val="000454D8"/>
    <w:rsid w:val="00057315"/>
    <w:rsid w:val="00057A30"/>
    <w:rsid w:val="00082B2E"/>
    <w:rsid w:val="00087235"/>
    <w:rsid w:val="00092F4C"/>
    <w:rsid w:val="000A0D19"/>
    <w:rsid w:val="000B0188"/>
    <w:rsid w:val="000B0D44"/>
    <w:rsid w:val="000D7BB4"/>
    <w:rsid w:val="000F548C"/>
    <w:rsid w:val="00104233"/>
    <w:rsid w:val="00117DAE"/>
    <w:rsid w:val="00121985"/>
    <w:rsid w:val="001234CD"/>
    <w:rsid w:val="0014653F"/>
    <w:rsid w:val="00156B0C"/>
    <w:rsid w:val="001629E4"/>
    <w:rsid w:val="00174850"/>
    <w:rsid w:val="001841A8"/>
    <w:rsid w:val="001A3C75"/>
    <w:rsid w:val="001B3CD1"/>
    <w:rsid w:val="001E06D3"/>
    <w:rsid w:val="001F1689"/>
    <w:rsid w:val="00202F5B"/>
    <w:rsid w:val="00206061"/>
    <w:rsid w:val="00216D07"/>
    <w:rsid w:val="0022614C"/>
    <w:rsid w:val="00226F3B"/>
    <w:rsid w:val="00230CFF"/>
    <w:rsid w:val="00241515"/>
    <w:rsid w:val="00241BE3"/>
    <w:rsid w:val="002455FF"/>
    <w:rsid w:val="00251E17"/>
    <w:rsid w:val="00284240"/>
    <w:rsid w:val="002867C5"/>
    <w:rsid w:val="00292481"/>
    <w:rsid w:val="0029699D"/>
    <w:rsid w:val="002C0C32"/>
    <w:rsid w:val="002D5B3A"/>
    <w:rsid w:val="002F6BCC"/>
    <w:rsid w:val="002F756E"/>
    <w:rsid w:val="003115E8"/>
    <w:rsid w:val="00314744"/>
    <w:rsid w:val="00314D99"/>
    <w:rsid w:val="003170F6"/>
    <w:rsid w:val="00344371"/>
    <w:rsid w:val="0036395C"/>
    <w:rsid w:val="003677F5"/>
    <w:rsid w:val="0039065F"/>
    <w:rsid w:val="003B5F18"/>
    <w:rsid w:val="003C57F2"/>
    <w:rsid w:val="003C6001"/>
    <w:rsid w:val="003D1C56"/>
    <w:rsid w:val="003D22E8"/>
    <w:rsid w:val="003E196E"/>
    <w:rsid w:val="004211F7"/>
    <w:rsid w:val="0042460A"/>
    <w:rsid w:val="004258AC"/>
    <w:rsid w:val="00430E53"/>
    <w:rsid w:val="0043120F"/>
    <w:rsid w:val="004474A8"/>
    <w:rsid w:val="00450CB3"/>
    <w:rsid w:val="00452257"/>
    <w:rsid w:val="00463105"/>
    <w:rsid w:val="00474976"/>
    <w:rsid w:val="00476B99"/>
    <w:rsid w:val="00487AE0"/>
    <w:rsid w:val="00492A35"/>
    <w:rsid w:val="00494D08"/>
    <w:rsid w:val="004A1EB9"/>
    <w:rsid w:val="004A43DD"/>
    <w:rsid w:val="004B43FC"/>
    <w:rsid w:val="004D7C4E"/>
    <w:rsid w:val="004E761D"/>
    <w:rsid w:val="004F0E0D"/>
    <w:rsid w:val="004F4720"/>
    <w:rsid w:val="004F6A57"/>
    <w:rsid w:val="00514FA2"/>
    <w:rsid w:val="00546164"/>
    <w:rsid w:val="0057267F"/>
    <w:rsid w:val="0057283D"/>
    <w:rsid w:val="005776F7"/>
    <w:rsid w:val="0058586D"/>
    <w:rsid w:val="005A1C49"/>
    <w:rsid w:val="005A54B6"/>
    <w:rsid w:val="005C45A1"/>
    <w:rsid w:val="005D3CF3"/>
    <w:rsid w:val="005E1556"/>
    <w:rsid w:val="005E3DAA"/>
    <w:rsid w:val="005F6464"/>
    <w:rsid w:val="00601540"/>
    <w:rsid w:val="00602D88"/>
    <w:rsid w:val="00605FBD"/>
    <w:rsid w:val="0060639B"/>
    <w:rsid w:val="00631E64"/>
    <w:rsid w:val="006350BF"/>
    <w:rsid w:val="00636524"/>
    <w:rsid w:val="00640A0D"/>
    <w:rsid w:val="00640F3F"/>
    <w:rsid w:val="0064257F"/>
    <w:rsid w:val="00642EC9"/>
    <w:rsid w:val="00650CB6"/>
    <w:rsid w:val="006516E4"/>
    <w:rsid w:val="00654714"/>
    <w:rsid w:val="006562EF"/>
    <w:rsid w:val="00674308"/>
    <w:rsid w:val="00677F67"/>
    <w:rsid w:val="00681520"/>
    <w:rsid w:val="00683DFC"/>
    <w:rsid w:val="006929ED"/>
    <w:rsid w:val="006944F8"/>
    <w:rsid w:val="006A0C1C"/>
    <w:rsid w:val="006A6134"/>
    <w:rsid w:val="006A77EB"/>
    <w:rsid w:val="006C0DE8"/>
    <w:rsid w:val="006C6C45"/>
    <w:rsid w:val="006C791E"/>
    <w:rsid w:val="006D5278"/>
    <w:rsid w:val="006E4A30"/>
    <w:rsid w:val="006E55B7"/>
    <w:rsid w:val="006F5993"/>
    <w:rsid w:val="00705EF4"/>
    <w:rsid w:val="00717B91"/>
    <w:rsid w:val="00726C59"/>
    <w:rsid w:val="00730F7C"/>
    <w:rsid w:val="00745B64"/>
    <w:rsid w:val="007632C0"/>
    <w:rsid w:val="00775F3D"/>
    <w:rsid w:val="0079773E"/>
    <w:rsid w:val="007A0651"/>
    <w:rsid w:val="007B3EFA"/>
    <w:rsid w:val="007B63C2"/>
    <w:rsid w:val="00814F36"/>
    <w:rsid w:val="00820CD8"/>
    <w:rsid w:val="0082607F"/>
    <w:rsid w:val="008477E2"/>
    <w:rsid w:val="00850AF1"/>
    <w:rsid w:val="0085680B"/>
    <w:rsid w:val="00862A68"/>
    <w:rsid w:val="00866FF2"/>
    <w:rsid w:val="00867A4F"/>
    <w:rsid w:val="008753F6"/>
    <w:rsid w:val="00876C8A"/>
    <w:rsid w:val="00880105"/>
    <w:rsid w:val="008A21DB"/>
    <w:rsid w:val="008A2966"/>
    <w:rsid w:val="008B209B"/>
    <w:rsid w:val="008D3CB8"/>
    <w:rsid w:val="008D746B"/>
    <w:rsid w:val="008D7B53"/>
    <w:rsid w:val="008E162B"/>
    <w:rsid w:val="00903640"/>
    <w:rsid w:val="00903C28"/>
    <w:rsid w:val="00904942"/>
    <w:rsid w:val="009127B2"/>
    <w:rsid w:val="00916721"/>
    <w:rsid w:val="00922ADF"/>
    <w:rsid w:val="009258A5"/>
    <w:rsid w:val="00937B08"/>
    <w:rsid w:val="00940DD9"/>
    <w:rsid w:val="009518CD"/>
    <w:rsid w:val="00961C4A"/>
    <w:rsid w:val="00962942"/>
    <w:rsid w:val="00963636"/>
    <w:rsid w:val="0096476E"/>
    <w:rsid w:val="00971F77"/>
    <w:rsid w:val="00974756"/>
    <w:rsid w:val="00987B83"/>
    <w:rsid w:val="009C1C87"/>
    <w:rsid w:val="009C1DED"/>
    <w:rsid w:val="009E51F5"/>
    <w:rsid w:val="009F3124"/>
    <w:rsid w:val="009F3BF1"/>
    <w:rsid w:val="00A016E7"/>
    <w:rsid w:val="00A06E05"/>
    <w:rsid w:val="00A34CB6"/>
    <w:rsid w:val="00A442B2"/>
    <w:rsid w:val="00A75793"/>
    <w:rsid w:val="00A87F05"/>
    <w:rsid w:val="00AA37F6"/>
    <w:rsid w:val="00AB1CFC"/>
    <w:rsid w:val="00AB470F"/>
    <w:rsid w:val="00AD10E3"/>
    <w:rsid w:val="00AE6C8F"/>
    <w:rsid w:val="00B00C6E"/>
    <w:rsid w:val="00B04BB6"/>
    <w:rsid w:val="00B0723A"/>
    <w:rsid w:val="00B12875"/>
    <w:rsid w:val="00B22841"/>
    <w:rsid w:val="00B24098"/>
    <w:rsid w:val="00B30592"/>
    <w:rsid w:val="00B34A59"/>
    <w:rsid w:val="00B36843"/>
    <w:rsid w:val="00B46930"/>
    <w:rsid w:val="00B525FD"/>
    <w:rsid w:val="00B66582"/>
    <w:rsid w:val="00B7258F"/>
    <w:rsid w:val="00B961BA"/>
    <w:rsid w:val="00B96B09"/>
    <w:rsid w:val="00BA0300"/>
    <w:rsid w:val="00BC34EF"/>
    <w:rsid w:val="00BC4CAB"/>
    <w:rsid w:val="00BD640E"/>
    <w:rsid w:val="00BD7960"/>
    <w:rsid w:val="00BE31E5"/>
    <w:rsid w:val="00BF0934"/>
    <w:rsid w:val="00C13D90"/>
    <w:rsid w:val="00C17C0E"/>
    <w:rsid w:val="00C31822"/>
    <w:rsid w:val="00C33C67"/>
    <w:rsid w:val="00C40684"/>
    <w:rsid w:val="00C651D1"/>
    <w:rsid w:val="00C67780"/>
    <w:rsid w:val="00C90F74"/>
    <w:rsid w:val="00C91B37"/>
    <w:rsid w:val="00CA09FC"/>
    <w:rsid w:val="00CA47DC"/>
    <w:rsid w:val="00CB63DA"/>
    <w:rsid w:val="00CB6CC8"/>
    <w:rsid w:val="00CC37AB"/>
    <w:rsid w:val="00CC45B6"/>
    <w:rsid w:val="00CC7608"/>
    <w:rsid w:val="00CD18CF"/>
    <w:rsid w:val="00CD1CD2"/>
    <w:rsid w:val="00CF29FA"/>
    <w:rsid w:val="00D11B76"/>
    <w:rsid w:val="00D74676"/>
    <w:rsid w:val="00D750E7"/>
    <w:rsid w:val="00D80A4D"/>
    <w:rsid w:val="00DA6D01"/>
    <w:rsid w:val="00DA6E88"/>
    <w:rsid w:val="00DB75A3"/>
    <w:rsid w:val="00DE09BF"/>
    <w:rsid w:val="00DE105D"/>
    <w:rsid w:val="00DF45B0"/>
    <w:rsid w:val="00E01EBC"/>
    <w:rsid w:val="00E147A0"/>
    <w:rsid w:val="00E70529"/>
    <w:rsid w:val="00E75FB7"/>
    <w:rsid w:val="00E84EA4"/>
    <w:rsid w:val="00EA1736"/>
    <w:rsid w:val="00EA69C6"/>
    <w:rsid w:val="00EA74D3"/>
    <w:rsid w:val="00EB67ED"/>
    <w:rsid w:val="00EB6854"/>
    <w:rsid w:val="00EC49F0"/>
    <w:rsid w:val="00ED6FFB"/>
    <w:rsid w:val="00EE34C7"/>
    <w:rsid w:val="00F06367"/>
    <w:rsid w:val="00F230B0"/>
    <w:rsid w:val="00F23927"/>
    <w:rsid w:val="00F42FCC"/>
    <w:rsid w:val="00F476BE"/>
    <w:rsid w:val="00F53668"/>
    <w:rsid w:val="00F62A26"/>
    <w:rsid w:val="00F63E0F"/>
    <w:rsid w:val="00F6688B"/>
    <w:rsid w:val="00F77D2C"/>
    <w:rsid w:val="00F83017"/>
    <w:rsid w:val="00F92333"/>
    <w:rsid w:val="00F924A8"/>
    <w:rsid w:val="00F94404"/>
    <w:rsid w:val="00FA243E"/>
    <w:rsid w:val="00FA47FF"/>
    <w:rsid w:val="00FA51F1"/>
    <w:rsid w:val="00FC5CF5"/>
    <w:rsid w:val="00FD1E7C"/>
    <w:rsid w:val="00FD4938"/>
    <w:rsid w:val="00FD4BD0"/>
    <w:rsid w:val="00FD7040"/>
    <w:rsid w:val="00FE10BB"/>
    <w:rsid w:val="00FE10E7"/>
    <w:rsid w:val="00FE4CB8"/>
    <w:rsid w:val="00FF11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A8D65A-A568-4CD2-9919-2B2DF178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6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640"/>
  </w:style>
  <w:style w:type="paragraph" w:styleId="Footer">
    <w:name w:val="footer"/>
    <w:basedOn w:val="Normal"/>
    <w:link w:val="FooterChar"/>
    <w:uiPriority w:val="99"/>
    <w:unhideWhenUsed/>
    <w:rsid w:val="009036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640"/>
  </w:style>
  <w:style w:type="paragraph" w:styleId="ListParagraph">
    <w:name w:val="List Paragraph"/>
    <w:basedOn w:val="Normal"/>
    <w:uiPriority w:val="34"/>
    <w:qFormat/>
    <w:rsid w:val="002F6BCC"/>
    <w:pPr>
      <w:ind w:left="720"/>
      <w:contextualSpacing/>
    </w:pPr>
  </w:style>
  <w:style w:type="paragraph" w:styleId="NormalWeb">
    <w:name w:val="Normal (Web)"/>
    <w:basedOn w:val="Normal"/>
    <w:uiPriority w:val="99"/>
    <w:semiHidden/>
    <w:unhideWhenUsed/>
    <w:rsid w:val="00C33C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33C67"/>
    <w:rPr>
      <w:b/>
      <w:bCs/>
    </w:rPr>
  </w:style>
  <w:style w:type="character" w:styleId="Hyperlink">
    <w:name w:val="Hyperlink"/>
    <w:basedOn w:val="DefaultParagraphFont"/>
    <w:uiPriority w:val="99"/>
    <w:semiHidden/>
    <w:unhideWhenUsed/>
    <w:rsid w:val="00C33C67"/>
    <w:rPr>
      <w:color w:val="0000FF"/>
      <w:u w:val="single"/>
    </w:rPr>
  </w:style>
  <w:style w:type="paragraph" w:styleId="HTMLPreformatted">
    <w:name w:val="HTML Preformatted"/>
    <w:basedOn w:val="Normal"/>
    <w:link w:val="HTMLPreformattedChar"/>
    <w:uiPriority w:val="99"/>
    <w:unhideWhenUsed/>
    <w:rsid w:val="00C3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C33C67"/>
    <w:rPr>
      <w:rFonts w:ascii="Courier New" w:eastAsia="Times New Roman" w:hAnsi="Courier New" w:cs="Courier New"/>
      <w:sz w:val="20"/>
      <w:szCs w:val="20"/>
      <w:lang w:eastAsia="el-GR"/>
    </w:rPr>
  </w:style>
  <w:style w:type="paragraph" w:customStyle="1" w:styleId="xmsonormal">
    <w:name w:val="x_msonormal"/>
    <w:basedOn w:val="Normal"/>
    <w:rsid w:val="00C33C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Βασικό1"/>
    <w:rsid w:val="0082607F"/>
    <w:pPr>
      <w:spacing w:after="0" w:line="276" w:lineRule="auto"/>
    </w:pPr>
    <w:rPr>
      <w:rFonts w:ascii="Arial" w:eastAsia="Arial" w:hAnsi="Arial" w:cs="Arial"/>
      <w:lang w:eastAsia="el-GR"/>
    </w:rPr>
  </w:style>
  <w:style w:type="paragraph" w:customStyle="1" w:styleId="2">
    <w:name w:val="Βασικό2"/>
    <w:rsid w:val="0082607F"/>
    <w:pPr>
      <w:spacing w:after="0" w:line="276" w:lineRule="auto"/>
    </w:pPr>
    <w:rPr>
      <w:rFonts w:ascii="Arial" w:eastAsia="Arial" w:hAnsi="Arial" w:cs="Arial"/>
      <w:lang w:eastAsia="el-GR"/>
    </w:rPr>
  </w:style>
  <w:style w:type="paragraph" w:styleId="BalloonText">
    <w:name w:val="Balloon Text"/>
    <w:basedOn w:val="Normal"/>
    <w:link w:val="BalloonTextChar"/>
    <w:uiPriority w:val="99"/>
    <w:semiHidden/>
    <w:unhideWhenUsed/>
    <w:rsid w:val="00FF1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1A"/>
    <w:rPr>
      <w:rFonts w:ascii="Tahoma" w:hAnsi="Tahoma" w:cs="Tahoma"/>
      <w:sz w:val="16"/>
      <w:szCs w:val="16"/>
    </w:rPr>
  </w:style>
  <w:style w:type="table" w:styleId="TableGrid">
    <w:name w:val="Table Grid"/>
    <w:basedOn w:val="TableNormal"/>
    <w:uiPriority w:val="39"/>
    <w:rsid w:val="006F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C90F74"/>
  </w:style>
  <w:style w:type="paragraph" w:styleId="Caption">
    <w:name w:val="caption"/>
    <w:basedOn w:val="Normal"/>
    <w:next w:val="Normal"/>
    <w:uiPriority w:val="35"/>
    <w:unhideWhenUsed/>
    <w:qFormat/>
    <w:rsid w:val="006350BF"/>
    <w:pPr>
      <w:spacing w:after="200" w:line="240" w:lineRule="auto"/>
    </w:pPr>
    <w:rPr>
      <w:i/>
      <w:iCs/>
      <w:color w:val="44546A" w:themeColor="text2"/>
      <w:sz w:val="18"/>
      <w:szCs w:val="18"/>
    </w:rPr>
  </w:style>
  <w:style w:type="paragraph" w:styleId="IntenseQuote">
    <w:name w:val="Intense Quote"/>
    <w:basedOn w:val="Normal"/>
    <w:next w:val="Normal"/>
    <w:link w:val="IntenseQuoteChar"/>
    <w:uiPriority w:val="30"/>
    <w:qFormat/>
    <w:rsid w:val="00C91B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91B37"/>
    <w:rPr>
      <w:i/>
      <w:iCs/>
      <w:color w:val="4472C4" w:themeColor="accent1"/>
    </w:rPr>
  </w:style>
  <w:style w:type="table" w:customStyle="1" w:styleId="GridTable4-Accent11">
    <w:name w:val="Grid Table 4 - Accent 11"/>
    <w:basedOn w:val="TableNormal"/>
    <w:uiPriority w:val="49"/>
    <w:rsid w:val="007A065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368985">
      <w:bodyDiv w:val="1"/>
      <w:marLeft w:val="0"/>
      <w:marRight w:val="0"/>
      <w:marTop w:val="0"/>
      <w:marBottom w:val="0"/>
      <w:divBdr>
        <w:top w:val="none" w:sz="0" w:space="0" w:color="auto"/>
        <w:left w:val="none" w:sz="0" w:space="0" w:color="auto"/>
        <w:bottom w:val="none" w:sz="0" w:space="0" w:color="auto"/>
        <w:right w:val="none" w:sz="0" w:space="0" w:color="auto"/>
      </w:divBdr>
    </w:div>
    <w:div w:id="538586358">
      <w:bodyDiv w:val="1"/>
      <w:marLeft w:val="0"/>
      <w:marRight w:val="0"/>
      <w:marTop w:val="0"/>
      <w:marBottom w:val="0"/>
      <w:divBdr>
        <w:top w:val="none" w:sz="0" w:space="0" w:color="auto"/>
        <w:left w:val="none" w:sz="0" w:space="0" w:color="auto"/>
        <w:bottom w:val="none" w:sz="0" w:space="0" w:color="auto"/>
        <w:right w:val="none" w:sz="0" w:space="0" w:color="auto"/>
      </w:divBdr>
    </w:div>
    <w:div w:id="581454692">
      <w:bodyDiv w:val="1"/>
      <w:marLeft w:val="0"/>
      <w:marRight w:val="0"/>
      <w:marTop w:val="0"/>
      <w:marBottom w:val="0"/>
      <w:divBdr>
        <w:top w:val="none" w:sz="0" w:space="0" w:color="auto"/>
        <w:left w:val="none" w:sz="0" w:space="0" w:color="auto"/>
        <w:bottom w:val="none" w:sz="0" w:space="0" w:color="auto"/>
        <w:right w:val="none" w:sz="0" w:space="0" w:color="auto"/>
      </w:divBdr>
    </w:div>
    <w:div w:id="659502494">
      <w:bodyDiv w:val="1"/>
      <w:marLeft w:val="0"/>
      <w:marRight w:val="0"/>
      <w:marTop w:val="0"/>
      <w:marBottom w:val="0"/>
      <w:divBdr>
        <w:top w:val="none" w:sz="0" w:space="0" w:color="auto"/>
        <w:left w:val="none" w:sz="0" w:space="0" w:color="auto"/>
        <w:bottom w:val="none" w:sz="0" w:space="0" w:color="auto"/>
        <w:right w:val="none" w:sz="0" w:space="0" w:color="auto"/>
      </w:divBdr>
    </w:div>
    <w:div w:id="820927765">
      <w:bodyDiv w:val="1"/>
      <w:marLeft w:val="0"/>
      <w:marRight w:val="0"/>
      <w:marTop w:val="0"/>
      <w:marBottom w:val="0"/>
      <w:divBdr>
        <w:top w:val="none" w:sz="0" w:space="0" w:color="auto"/>
        <w:left w:val="none" w:sz="0" w:space="0" w:color="auto"/>
        <w:bottom w:val="none" w:sz="0" w:space="0" w:color="auto"/>
        <w:right w:val="none" w:sz="0" w:space="0" w:color="auto"/>
      </w:divBdr>
    </w:div>
    <w:div w:id="952326670">
      <w:bodyDiv w:val="1"/>
      <w:marLeft w:val="0"/>
      <w:marRight w:val="0"/>
      <w:marTop w:val="0"/>
      <w:marBottom w:val="0"/>
      <w:divBdr>
        <w:top w:val="none" w:sz="0" w:space="0" w:color="auto"/>
        <w:left w:val="none" w:sz="0" w:space="0" w:color="auto"/>
        <w:bottom w:val="none" w:sz="0" w:space="0" w:color="auto"/>
        <w:right w:val="none" w:sz="0" w:space="0" w:color="auto"/>
      </w:divBdr>
    </w:div>
    <w:div w:id="17323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C68C3-E870-49C4-AA76-2BFF8CCA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1945</Words>
  <Characters>10506</Characters>
  <Application>Microsoft Office Word</Application>
  <DocSecurity>0</DocSecurity>
  <Lines>87</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Pantelis Arsenis</cp:lastModifiedBy>
  <cp:revision>2</cp:revision>
  <cp:lastPrinted>2022-04-06T08:16:00Z</cp:lastPrinted>
  <dcterms:created xsi:type="dcterms:W3CDTF">2022-04-20T16:46:00Z</dcterms:created>
  <dcterms:modified xsi:type="dcterms:W3CDTF">2022-04-20T16:46:00Z</dcterms:modified>
</cp:coreProperties>
</file>